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B59DC" w:rsidRDefault="00CF1763">
      <w:r>
        <w:rPr>
          <w:noProof/>
          <w:lang w:val="en-US" w:eastAsia="en-US"/>
        </w:rPr>
        <w:pict>
          <v:shapetype id="_x0000_t202" coordsize="21600,21600" o:spt="202" path="m0,0l0,21600,21600,21600,21600,0xe">
            <v:stroke joinstyle="miter"/>
            <v:path gradientshapeok="t" o:connecttype="rect"/>
          </v:shapetype>
          <v:shape id="_x0000_s1088" type="#_x0000_t202" style="position:absolute;margin-left:297pt;margin-top:34.9pt;width:207pt;height:54pt;z-index:251658240;mso-wrap-edited:f;mso-position-horizontal:absolute;mso-position-vertical:absolute;mso-position-vertical-relative:page" wrapcoords="0 0 21600 0 21600 21600 0 21600 0 0" filled="f" stroked="f">
            <v:textbox style="mso-next-textbox:#_x0000_s1088" inset="0,0,0,0">
              <w:txbxContent>
                <w:p w:rsidR="00CF1763" w:rsidRDefault="00CF1763" w:rsidP="00CF1763">
                  <w:pPr>
                    <w:tabs>
                      <w:tab w:val="decimal" w:pos="142"/>
                      <w:tab w:val="decimal" w:pos="284"/>
                      <w:tab w:val="decimal" w:pos="426"/>
                    </w:tabs>
                    <w:spacing w:line="240" w:lineRule="exact"/>
                    <w:rPr>
                      <w:sz w:val="16"/>
                    </w:rPr>
                  </w:pPr>
                  <w:r>
                    <w:rPr>
                      <w:sz w:val="16"/>
                    </w:rPr>
                    <w:t>Wheatley Campus   Wheatley   Oxford OX33 1HX   UK</w:t>
                  </w:r>
                </w:p>
                <w:p w:rsidR="00CF1763" w:rsidRDefault="00CF1763" w:rsidP="00CF1763">
                  <w:pPr>
                    <w:tabs>
                      <w:tab w:val="decimal" w:pos="142"/>
                      <w:tab w:val="decimal" w:pos="284"/>
                      <w:tab w:val="decimal" w:pos="426"/>
                    </w:tabs>
                    <w:spacing w:line="240" w:lineRule="exact"/>
                    <w:rPr>
                      <w:sz w:val="16"/>
                    </w:rPr>
                  </w:pPr>
                  <w:r>
                    <w:rPr>
                      <w:sz w:val="16"/>
                    </w:rPr>
                    <w:tab/>
                    <w:t xml:space="preserve">    t. +44 (0)1865 485910   f. +44 (0)1865 485937</w:t>
                  </w:r>
                </w:p>
                <w:p w:rsidR="00CF1763" w:rsidRDefault="00CF1763" w:rsidP="00CF1763">
                  <w:pPr>
                    <w:tabs>
                      <w:tab w:val="decimal" w:pos="142"/>
                      <w:tab w:val="decimal" w:pos="284"/>
                      <w:tab w:val="decimal" w:pos="426"/>
                    </w:tabs>
                    <w:spacing w:line="240" w:lineRule="exact"/>
                    <w:rPr>
                      <w:sz w:val="16"/>
                    </w:rPr>
                  </w:pPr>
                  <w:r>
                    <w:rPr>
                      <w:sz w:val="16"/>
                    </w:rPr>
                    <w:tab/>
                  </w:r>
                  <w:r>
                    <w:rPr>
                      <w:sz w:val="16"/>
                    </w:rPr>
                    <w:tab/>
                  </w:r>
                  <w:r>
                    <w:rPr>
                      <w:sz w:val="16"/>
                    </w:rPr>
                    <w:tab/>
                    <w:t>gdbenfield@brookes.ac.uk</w:t>
                  </w:r>
                </w:p>
                <w:p w:rsidR="00CF1763" w:rsidRDefault="00CF1763" w:rsidP="00CF1763">
                  <w:pPr>
                    <w:tabs>
                      <w:tab w:val="decimal" w:pos="142"/>
                      <w:tab w:val="decimal" w:pos="284"/>
                      <w:tab w:val="decimal" w:pos="426"/>
                      <w:tab w:val="decimal" w:pos="567"/>
                    </w:tabs>
                    <w:spacing w:line="240" w:lineRule="exact"/>
                    <w:rPr>
                      <w:sz w:val="16"/>
                    </w:rPr>
                  </w:pPr>
                  <w:r>
                    <w:rPr>
                      <w:sz w:val="16"/>
                    </w:rPr>
                    <w:tab/>
                  </w:r>
                  <w:r>
                    <w:rPr>
                      <w:sz w:val="16"/>
                    </w:rPr>
                    <w:tab/>
                  </w:r>
                  <w:r>
                    <w:rPr>
                      <w:sz w:val="16"/>
                    </w:rPr>
                    <w:tab/>
                  </w:r>
                  <w:r>
                    <w:rPr>
                      <w:sz w:val="16"/>
                    </w:rPr>
                    <w:tab/>
                    <w:t>www.brookes.ac.uk/services/ocsd</w:t>
                  </w:r>
                </w:p>
              </w:txbxContent>
            </v:textbox>
            <w10:wrap type="tight" anchory="page"/>
            <w10:anchorlock/>
          </v:shape>
        </w:pict>
      </w:r>
      <w:r>
        <w:rPr>
          <w:noProof/>
        </w:rPr>
        <w:pict>
          <v:group id="_x0000_s1085" style="position:absolute;margin-left:-27pt;margin-top:-42.5pt;width:549pt;height:11in;z-index:251656704" coordorigin="594,568" coordsize="10980,15840">
            <v:shape id="_x0000_s1028" type="#_x0000_t202" style="position:absolute;left:594;top:568;width:4860;height:1080" stroked="f">
              <v:textbox style="mso-next-textbox:#_x0000_s1028">
                <w:txbxContent>
                  <w:p w:rsidR="0046531B" w:rsidRPr="0046531B" w:rsidRDefault="00CF1763" w:rsidP="004E7F25">
                    <w:pPr>
                      <w:rPr>
                        <w:color w:val="A22B29"/>
                        <w:sz w:val="36"/>
                        <w:szCs w:val="36"/>
                      </w:rPr>
                    </w:pPr>
                    <w:r w:rsidRPr="0046531B">
                      <w:rPr>
                        <w:color w:val="A22B29"/>
                        <w:sz w:val="36"/>
                        <w:szCs w:val="36"/>
                      </w:rPr>
                      <w:t xml:space="preserve">Oxford Centre for Staff and </w:t>
                    </w:r>
                  </w:p>
                  <w:p w:rsidR="004E7F25" w:rsidRPr="0046531B" w:rsidRDefault="004E7F25" w:rsidP="004E7F25">
                    <w:pPr>
                      <w:rPr>
                        <w:color w:val="A22B29"/>
                        <w:sz w:val="36"/>
                        <w:szCs w:val="36"/>
                      </w:rPr>
                    </w:pPr>
                    <w:r w:rsidRPr="0046531B">
                      <w:rPr>
                        <w:color w:val="A22B29"/>
                        <w:sz w:val="36"/>
                        <w:szCs w:val="36"/>
                      </w:rPr>
                      <w:t>Learning Development</w:t>
                    </w:r>
                  </w:p>
                </w:txbxContent>
              </v:textbox>
            </v:shape>
            <v:shape id="_x0000_s1057" type="#_x0000_t202" style="position:absolute;left:8874;top:15328;width:2700;height:1080" stroked="f">
              <v:textbox style="mso-next-textbox:#_x0000_s1057">
                <w:txbxContent>
                  <w:p w:rsidR="004E7F25" w:rsidRDefault="00CF1763">
                    <w:r>
                      <w:rPr>
                        <w:noProof/>
                        <w:lang w:val="en-US" w:eastAsia="en-US"/>
                      </w:rPr>
                      <w:drawing>
                        <wp:inline distT="0" distB="0" distL="0" distR="0">
                          <wp:extent cx="1511300" cy="596900"/>
                          <wp:effectExtent l="25400" t="0" r="0" b="0"/>
                          <wp:docPr id="1" name="Picture 1" descr="New logo colour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lour low res"/>
                                  <pic:cNvPicPr>
                                    <a:picLocks noChangeAspect="1" noChangeArrowheads="1"/>
                                  </pic:cNvPicPr>
                                </pic:nvPicPr>
                                <pic:blipFill>
                                  <a:blip r:embed="rId5"/>
                                  <a:srcRect/>
                                  <a:stretch>
                                    <a:fillRect/>
                                  </a:stretch>
                                </pic:blipFill>
                                <pic:spPr bwMode="auto">
                                  <a:xfrm>
                                    <a:off x="0" y="0"/>
                                    <a:ext cx="1511300" cy="596900"/>
                                  </a:xfrm>
                                  <a:prstGeom prst="rect">
                                    <a:avLst/>
                                  </a:prstGeom>
                                  <a:noFill/>
                                  <a:ln w="9525">
                                    <a:noFill/>
                                    <a:miter lim="800000"/>
                                    <a:headEnd/>
                                    <a:tailEnd/>
                                  </a:ln>
                                </pic:spPr>
                              </pic:pic>
                            </a:graphicData>
                          </a:graphic>
                        </wp:inline>
                      </w:drawing>
                    </w:r>
                  </w:p>
                </w:txbxContent>
              </v:textbox>
            </v:shape>
            <v:group id="_x0000_s1063" style="position:absolute;left:594;top:568;width:10800;height:15840" coordorigin="540,540" coordsize="10800,15840">
              <v:line id="_x0000_s1046" style="position:absolute" from="540,1620" to="4860,1620"/>
              <v:line id="_x0000_s1047" style="position:absolute;flip:y" from="4860,540" to="5580,1620"/>
              <v:line id="_x0000_s1048" style="position:absolute" from="5580,540" to="11340,540"/>
              <v:line id="_x0000_s1052" style="position:absolute" from="540,1620" to="540,16380"/>
              <v:line id="_x0000_s1053" style="position:absolute" from="540,16380" to="7920,16380"/>
              <v:line id="_x0000_s1054" style="position:absolute" from="11340,540" to="11340,15120"/>
              <v:line id="_x0000_s1058" style="position:absolute;flip:y" from="7920,15120" to="8820,16380"/>
              <v:line id="_x0000_s1059" style="position:absolute" from="8820,15120" to="11340,15120"/>
            </v:group>
            <v:shape id="_x0000_s1062" type="#_x0000_t202" style="position:absolute;left:954;top:15868;width:6120;height:360" stroked="f">
              <v:textbox style="mso-next-textbox:#_x0000_s1062">
                <w:txbxContent>
                  <w:p w:rsidR="004E7F25" w:rsidRPr="00881E9B" w:rsidRDefault="004E7F25">
                    <w:pPr>
                      <w:rPr>
                        <w:color w:val="002A77"/>
                      </w:rPr>
                    </w:pPr>
                    <w:r w:rsidRPr="00881E9B">
                      <w:rPr>
                        <w:color w:val="002A77"/>
                      </w:rPr>
                      <w:t>www.brookes.ac.uk/services/ocsd</w:t>
                    </w:r>
                  </w:p>
                </w:txbxContent>
              </v:textbox>
            </v:shape>
          </v:group>
        </w:pict>
      </w:r>
    </w:p>
    <w:p w:rsidR="00712B09" w:rsidRDefault="00CF1763"/>
    <w:p w:rsidR="00CF1763" w:rsidRDefault="00CF1763" w:rsidP="00CF1763">
      <w:pPr>
        <w:pStyle w:val="Heading3"/>
      </w:pPr>
      <w:r>
        <w:t>Programme notes:  GA roadshow   June, 2011</w:t>
      </w:r>
    </w:p>
    <w:p w:rsidR="00CF1763" w:rsidRDefault="00CF1763" w:rsidP="00CF1763">
      <w:r>
        <w:t>[This session is assumed to be 50 minutes of a 60 minute slot]</w:t>
      </w:r>
    </w:p>
    <w:p w:rsidR="00CF1763" w:rsidRDefault="00CF1763" w:rsidP="00CF1763"/>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2093"/>
        <w:gridCol w:w="4536"/>
        <w:gridCol w:w="1887"/>
      </w:tblGrid>
      <w:tr w:rsidR="00CF1763">
        <w:tc>
          <w:tcPr>
            <w:tcW w:w="2093" w:type="dxa"/>
          </w:tcPr>
          <w:p w:rsidR="00CF1763" w:rsidRDefault="00CF1763">
            <w:r>
              <w:t>Times</w:t>
            </w:r>
          </w:p>
        </w:tc>
        <w:tc>
          <w:tcPr>
            <w:tcW w:w="4536" w:type="dxa"/>
          </w:tcPr>
          <w:p w:rsidR="00CF1763" w:rsidRDefault="00CF1763">
            <w:r>
              <w:t>Activity</w:t>
            </w:r>
          </w:p>
        </w:tc>
        <w:tc>
          <w:tcPr>
            <w:tcW w:w="1887" w:type="dxa"/>
          </w:tcPr>
          <w:p w:rsidR="00CF1763" w:rsidRDefault="00CF1763">
            <w:r>
              <w:t>Notes</w:t>
            </w:r>
          </w:p>
        </w:tc>
      </w:tr>
      <w:tr w:rsidR="00CF1763">
        <w:tc>
          <w:tcPr>
            <w:tcW w:w="2093" w:type="dxa"/>
          </w:tcPr>
          <w:p w:rsidR="00CF1763" w:rsidRDefault="00CF1763"/>
          <w:p w:rsidR="00CF1763" w:rsidRDefault="00CF1763">
            <w:r>
              <w:t>0-5 mins</w:t>
            </w:r>
          </w:p>
        </w:tc>
        <w:tc>
          <w:tcPr>
            <w:tcW w:w="4536" w:type="dxa"/>
          </w:tcPr>
          <w:p w:rsidR="00CF1763" w:rsidRDefault="00CF1763"/>
          <w:p w:rsidR="00CF1763" w:rsidRDefault="00CF1763"/>
          <w:p w:rsidR="00CF1763" w:rsidRDefault="00CF1763">
            <w:r>
              <w:t>SESE quiz</w:t>
            </w:r>
          </w:p>
        </w:tc>
        <w:tc>
          <w:tcPr>
            <w:tcW w:w="1887" w:type="dxa"/>
          </w:tcPr>
          <w:p w:rsidR="00CF1763" w:rsidRDefault="00CF1763">
            <w:r>
              <w:t>Give this to people as they come in and suggest they do it with someone else.</w:t>
            </w:r>
          </w:p>
          <w:p w:rsidR="00CF1763" w:rsidRDefault="00CF1763"/>
          <w:p w:rsidR="00CF1763" w:rsidRDefault="00CF1763"/>
          <w:p w:rsidR="00CF1763" w:rsidRDefault="00CF1763">
            <w:r w:rsidRPr="00CF1763">
              <w:rPr>
                <w:highlight w:val="yellow"/>
              </w:rPr>
              <w:t>Resource:  SESE quiz</w:t>
            </w:r>
            <w:r>
              <w:t xml:space="preserve"> </w:t>
            </w:r>
          </w:p>
          <w:p w:rsidR="00CF1763" w:rsidRDefault="00CF1763"/>
          <w:p w:rsidR="00CF1763" w:rsidRDefault="00CF1763"/>
        </w:tc>
      </w:tr>
      <w:tr w:rsidR="00CF1763">
        <w:tc>
          <w:tcPr>
            <w:tcW w:w="2093" w:type="dxa"/>
          </w:tcPr>
          <w:p w:rsidR="00CF1763" w:rsidRDefault="00CF1763"/>
          <w:p w:rsidR="00CF1763" w:rsidRDefault="00CF1763">
            <w:r>
              <w:t>5 – 7 minutes</w:t>
            </w:r>
          </w:p>
        </w:tc>
        <w:tc>
          <w:tcPr>
            <w:tcW w:w="4536" w:type="dxa"/>
          </w:tcPr>
          <w:p w:rsidR="00CF1763" w:rsidRDefault="00CF1763"/>
          <w:p w:rsidR="00CF1763" w:rsidRDefault="00CF1763">
            <w:r>
              <w:t xml:space="preserve">Call people to order, show slide 2 with aims for the event </w:t>
            </w:r>
          </w:p>
          <w:p w:rsidR="00CF1763" w:rsidRDefault="00CF1763"/>
          <w:p w:rsidR="00CF1763" w:rsidRDefault="00CF1763">
            <w:r>
              <w:t>Correct the quiz</w:t>
            </w:r>
          </w:p>
        </w:tc>
        <w:tc>
          <w:tcPr>
            <w:tcW w:w="1887" w:type="dxa"/>
          </w:tcPr>
          <w:p w:rsidR="00CF1763" w:rsidRDefault="00CF1763"/>
          <w:p w:rsidR="00CF1763" w:rsidRDefault="00CF1763">
            <w:r>
              <w:t>Organised to let late comers arrive etc.</w:t>
            </w:r>
          </w:p>
          <w:p w:rsidR="00CF1763" w:rsidRDefault="00CF1763"/>
          <w:p w:rsidR="00CF1763" w:rsidRDefault="00CF1763"/>
        </w:tc>
      </w:tr>
      <w:tr w:rsidR="00CF1763">
        <w:tc>
          <w:tcPr>
            <w:tcW w:w="2093" w:type="dxa"/>
          </w:tcPr>
          <w:p w:rsidR="00CF1763" w:rsidRDefault="00CF1763" w:rsidP="005731BC"/>
          <w:p w:rsidR="00CF1763" w:rsidRDefault="00CF1763" w:rsidP="005731BC">
            <w:r>
              <w:t xml:space="preserve">8 -  11 minutes </w:t>
            </w:r>
          </w:p>
        </w:tc>
        <w:tc>
          <w:tcPr>
            <w:tcW w:w="4536" w:type="dxa"/>
          </w:tcPr>
          <w:p w:rsidR="00CF1763" w:rsidRDefault="00CF1763"/>
          <w:p w:rsidR="00CF1763" w:rsidRDefault="00CF1763">
            <w:r>
              <w:t xml:space="preserve">Show student Vox pop video.  (hyperlink in Slide 3)  </w:t>
            </w:r>
          </w:p>
          <w:p w:rsidR="00CF1763" w:rsidRDefault="00CF1763"/>
          <w:p w:rsidR="00CF1763" w:rsidRDefault="00CF1763">
            <w:r>
              <w:t>Ask at the end ‘What are they telling us, in a nutshell?  What do they want from their Brookes time?</w:t>
            </w:r>
          </w:p>
          <w:p w:rsidR="00CF1763" w:rsidRDefault="00CF1763"/>
        </w:tc>
        <w:tc>
          <w:tcPr>
            <w:tcW w:w="1887" w:type="dxa"/>
          </w:tcPr>
          <w:p w:rsidR="00CF1763" w:rsidRDefault="00CF1763"/>
        </w:tc>
      </w:tr>
      <w:tr w:rsidR="00CF1763">
        <w:tc>
          <w:tcPr>
            <w:tcW w:w="2093" w:type="dxa"/>
          </w:tcPr>
          <w:p w:rsidR="00CF1763" w:rsidRDefault="00CF1763" w:rsidP="005731BC">
            <w:r>
              <w:t xml:space="preserve"> </w:t>
            </w:r>
          </w:p>
          <w:p w:rsidR="00CF1763" w:rsidRDefault="00CF1763" w:rsidP="005731BC">
            <w:r>
              <w:t xml:space="preserve">1 2- 20 minutes </w:t>
            </w:r>
          </w:p>
        </w:tc>
        <w:tc>
          <w:tcPr>
            <w:tcW w:w="4536" w:type="dxa"/>
          </w:tcPr>
          <w:p w:rsidR="00CF1763" w:rsidRDefault="00CF1763" w:rsidP="005731BC"/>
          <w:p w:rsidR="00CF1763" w:rsidRDefault="00CF1763" w:rsidP="005731BC">
            <w:r>
              <w:t xml:space="preserve">4 minutes of the Raftery video.  Give a short intro saying who he is, and what he is talking about.  He tells the background to having GAs and he explains what the GAs do as part of the SESE.  </w:t>
            </w:r>
          </w:p>
        </w:tc>
        <w:tc>
          <w:tcPr>
            <w:tcW w:w="1887" w:type="dxa"/>
          </w:tcPr>
          <w:p w:rsidR="00CF1763" w:rsidRDefault="00CF1763"/>
          <w:p w:rsidR="00CF1763" w:rsidRDefault="00CF1763">
            <w:r>
              <w:t xml:space="preserve">Stop the video just before 4 minutes, when JR says ‘….. about lighting a fire’.  </w:t>
            </w:r>
          </w:p>
        </w:tc>
      </w:tr>
      <w:tr w:rsidR="00CF1763">
        <w:tc>
          <w:tcPr>
            <w:tcW w:w="2093" w:type="dxa"/>
          </w:tcPr>
          <w:p w:rsidR="00CF1763" w:rsidRDefault="00CF1763"/>
          <w:p w:rsidR="00CF1763" w:rsidRDefault="00CF1763"/>
          <w:p w:rsidR="00CF1763" w:rsidRDefault="00CF1763">
            <w:r>
              <w:t xml:space="preserve">21 – 40 minutes </w:t>
            </w:r>
          </w:p>
        </w:tc>
        <w:tc>
          <w:tcPr>
            <w:tcW w:w="4536" w:type="dxa"/>
          </w:tcPr>
          <w:p w:rsidR="00CF1763" w:rsidRDefault="00CF1763"/>
          <w:p w:rsidR="00CF1763" w:rsidRDefault="00CF1763">
            <w:r>
              <w:t>Slides 5 – 26</w:t>
            </w:r>
          </w:p>
          <w:p w:rsidR="00CF1763" w:rsidRDefault="00CF1763"/>
          <w:p w:rsidR="00CF1763" w:rsidRDefault="00CF1763">
            <w:r>
              <w:t>Talk through GA 1 Academic literacies in some detail.  Show how GA 2 Research literary works across the programme.</w:t>
            </w:r>
          </w:p>
          <w:p w:rsidR="00CF1763" w:rsidRDefault="00CF1763"/>
          <w:p w:rsidR="00CF1763" w:rsidRDefault="00CF1763">
            <w:r>
              <w:t xml:space="preserve">GA 3 Digital and information.  Very brief.  Give the handout but don’t talk through it.  Point to examples (‘for later’).  </w:t>
            </w:r>
          </w:p>
          <w:p w:rsidR="00CF1763" w:rsidRDefault="00CF1763"/>
          <w:p w:rsidR="00CF1763" w:rsidRDefault="00CF1763">
            <w:r>
              <w:t>GA 4 Global Citizenship.  Remind them that JR said it was ‘tricky’ and contexted.  Not unraveling it here and now…..</w:t>
            </w:r>
          </w:p>
          <w:p w:rsidR="00CF1763" w:rsidRDefault="00CF1763"/>
          <w:p w:rsidR="00CF1763" w:rsidRDefault="00CF1763">
            <w:r>
              <w:t xml:space="preserve">GA 5 Critical self-awareness   illustrates how all 5 GA s  are not disctinct.  </w:t>
            </w:r>
          </w:p>
        </w:tc>
        <w:tc>
          <w:tcPr>
            <w:tcW w:w="1887" w:type="dxa"/>
          </w:tcPr>
          <w:p w:rsidR="00CF1763" w:rsidRDefault="00CF1763"/>
          <w:p w:rsidR="00CF1763" w:rsidRDefault="00CF1763">
            <w:r>
              <w:t xml:space="preserve">Keep close watch on the time – cut slides as needed </w:t>
            </w:r>
          </w:p>
          <w:p w:rsidR="00CF1763" w:rsidRDefault="00CF1763"/>
          <w:p w:rsidR="00CF1763" w:rsidRDefault="00CF1763">
            <w:r w:rsidRPr="00CF1763">
              <w:rPr>
                <w:highlight w:val="yellow"/>
              </w:rPr>
              <w:t>Resources:  Digital Literacy handout.</w:t>
            </w:r>
            <w:r>
              <w:t xml:space="preserve">  </w:t>
            </w:r>
          </w:p>
        </w:tc>
      </w:tr>
      <w:tr w:rsidR="00CF1763">
        <w:tc>
          <w:tcPr>
            <w:tcW w:w="2093" w:type="dxa"/>
          </w:tcPr>
          <w:p w:rsidR="00CF1763" w:rsidRDefault="00CF1763"/>
          <w:p w:rsidR="00CF1763" w:rsidRDefault="00CF1763">
            <w:r>
              <w:t xml:space="preserve">21 - 35 </w:t>
            </w:r>
          </w:p>
        </w:tc>
        <w:tc>
          <w:tcPr>
            <w:tcW w:w="4536" w:type="dxa"/>
          </w:tcPr>
          <w:p w:rsidR="00CF1763" w:rsidRDefault="00CF1763"/>
          <w:p w:rsidR="00CF1763" w:rsidRDefault="00CF1763">
            <w:r>
              <w:t xml:space="preserve">Task:  them to Read and make one comment about one of the two case studies </w:t>
            </w:r>
          </w:p>
          <w:p w:rsidR="00CF1763" w:rsidRDefault="00CF1763"/>
          <w:p w:rsidR="00CF1763" w:rsidRDefault="00CF1763">
            <w:r>
              <w:t>How would it work in their discipline?</w:t>
            </w:r>
          </w:p>
          <w:p w:rsidR="00CF1763" w:rsidRDefault="00CF1763"/>
        </w:tc>
        <w:tc>
          <w:tcPr>
            <w:tcW w:w="1887" w:type="dxa"/>
          </w:tcPr>
          <w:p w:rsidR="00CF1763" w:rsidRDefault="00CF1763"/>
          <w:p w:rsidR="00CF1763" w:rsidRDefault="00CF1763">
            <w:r w:rsidRPr="00CF1763">
              <w:rPr>
                <w:highlight w:val="yellow"/>
              </w:rPr>
              <w:t>Resources:  copies of case studies x 2.</w:t>
            </w:r>
            <w:r>
              <w:t xml:space="preserve">  </w:t>
            </w:r>
          </w:p>
          <w:p w:rsidR="00CF1763" w:rsidRDefault="00CF1763"/>
          <w:p w:rsidR="00CF1763" w:rsidRDefault="00CF1763"/>
        </w:tc>
      </w:tr>
      <w:tr w:rsidR="00CF1763">
        <w:tc>
          <w:tcPr>
            <w:tcW w:w="2093" w:type="dxa"/>
          </w:tcPr>
          <w:p w:rsidR="00CF1763" w:rsidRDefault="00CF1763"/>
          <w:p w:rsidR="00CF1763" w:rsidRDefault="00CF1763"/>
          <w:p w:rsidR="00CF1763" w:rsidRDefault="00CF1763" w:rsidP="00857B15">
            <w:r>
              <w:t xml:space="preserve">36 -50 </w:t>
            </w:r>
          </w:p>
        </w:tc>
        <w:tc>
          <w:tcPr>
            <w:tcW w:w="4536" w:type="dxa"/>
          </w:tcPr>
          <w:p w:rsidR="00CF1763" w:rsidRDefault="00CF1763"/>
          <w:p w:rsidR="00CF1763" w:rsidRDefault="00CF1763"/>
          <w:p w:rsidR="00CF1763" w:rsidRDefault="00CF1763">
            <w:r>
              <w:t>What next?</w:t>
            </w:r>
          </w:p>
          <w:p w:rsidR="00CF1763" w:rsidRDefault="00CF1763"/>
          <w:p w:rsidR="00CF1763" w:rsidRDefault="00CF1763">
            <w:r>
              <w:t xml:space="preserve">Talk through programme mapping and design issues </w:t>
            </w:r>
          </w:p>
          <w:p w:rsidR="00CF1763" w:rsidRDefault="00CF1763"/>
          <w:p w:rsidR="00CF1763" w:rsidRDefault="00CF1763">
            <w:r>
              <w:t>Slides  27 -29</w:t>
            </w:r>
          </w:p>
          <w:p w:rsidR="00CF1763" w:rsidRDefault="00CF1763"/>
          <w:p w:rsidR="00CF1763" w:rsidRDefault="00CF1763"/>
          <w:p w:rsidR="00CF1763" w:rsidRDefault="00CF1763">
            <w:r>
              <w:t>Make the point on slide 29 of all the help, resources, people etc there will be to help them do this, from September 2011.</w:t>
            </w:r>
          </w:p>
          <w:p w:rsidR="00CF1763" w:rsidRDefault="00CF1763"/>
          <w:p w:rsidR="00CF1763" w:rsidRDefault="00CF1763"/>
          <w:p w:rsidR="00CF1763" w:rsidRDefault="00CF1763"/>
        </w:tc>
        <w:tc>
          <w:tcPr>
            <w:tcW w:w="1887" w:type="dxa"/>
          </w:tcPr>
          <w:p w:rsidR="00CF1763" w:rsidRDefault="00CF1763"/>
          <w:p w:rsidR="00CF1763" w:rsidRDefault="00CF1763"/>
          <w:p w:rsidR="00CF1763" w:rsidRDefault="00CF1763">
            <w:r>
              <w:t>Expect people to start leaving before the hour is up.</w:t>
            </w:r>
          </w:p>
          <w:p w:rsidR="00CF1763" w:rsidRDefault="00CF1763"/>
          <w:p w:rsidR="00CF1763" w:rsidRDefault="00CF1763"/>
        </w:tc>
      </w:tr>
    </w:tbl>
    <w:p w:rsidR="00CF1763" w:rsidRDefault="00CF1763" w:rsidP="00CF1763"/>
    <w:p w:rsidR="0096324B" w:rsidRDefault="00CF1763"/>
    <w:p w:rsidR="004E7F25" w:rsidRDefault="004E7F25"/>
    <w:sectPr w:rsidR="004E7F25" w:rsidSect="004E7F25">
      <w:pgSz w:w="11906" w:h="16838" w:code="9"/>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F28DB"/>
    <w:multiLevelType w:val="hybridMultilevel"/>
    <w:tmpl w:val="2F16A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doNotValidateAgainstSchema/>
  <w:doNotDemarcateInvalidXml/>
  <w:hdrShapeDefaults>
    <o:shapedefaults v:ext="edit" spidmax="3074">
      <o:colormenu v:ext="edit" strokecolor="none"/>
    </o:shapedefaults>
  </w:hdrShapeDefaults>
  <w:compat/>
  <w:rsids>
    <w:rsidRoot w:val="00530FF5"/>
    <w:rsid w:val="004E7F25"/>
    <w:rsid w:val="00CF1763"/>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31"/>
    <w:rPr>
      <w:rFonts w:ascii="Arial" w:hAnsi="Arial"/>
      <w:lang w:eastAsia="en-GB"/>
    </w:rPr>
  </w:style>
  <w:style w:type="paragraph" w:styleId="Heading3">
    <w:name w:val="heading 3"/>
    <w:basedOn w:val="Normal"/>
    <w:next w:val="Normal"/>
    <w:link w:val="Heading3Char"/>
    <w:uiPriority w:val="9"/>
    <w:unhideWhenUsed/>
    <w:qFormat/>
    <w:rsid w:val="00CF176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F71DF"/>
    <w:pPr>
      <w:tabs>
        <w:tab w:val="center" w:pos="4153"/>
        <w:tab w:val="right" w:pos="8306"/>
      </w:tabs>
    </w:pPr>
  </w:style>
  <w:style w:type="paragraph" w:styleId="Footer">
    <w:name w:val="footer"/>
    <w:basedOn w:val="Normal"/>
    <w:rsid w:val="00DF71DF"/>
    <w:pPr>
      <w:tabs>
        <w:tab w:val="center" w:pos="4153"/>
        <w:tab w:val="right" w:pos="8306"/>
      </w:tabs>
    </w:pPr>
  </w:style>
  <w:style w:type="character" w:customStyle="1" w:styleId="HeaderChar">
    <w:name w:val="Header Char"/>
    <w:basedOn w:val="DefaultParagraphFont"/>
    <w:link w:val="Header"/>
    <w:rsid w:val="00923625"/>
    <w:rPr>
      <w:rFonts w:ascii="Arial" w:hAnsi="Arial"/>
      <w:lang w:eastAsia="en-GB"/>
    </w:rPr>
  </w:style>
  <w:style w:type="table" w:styleId="TableGrid">
    <w:name w:val="Table Grid"/>
    <w:basedOn w:val="TableNormal"/>
    <w:uiPriority w:val="59"/>
    <w:rsid w:val="00CF1763"/>
    <w:rPr>
      <w:rFonts w:asciiTheme="minorHAnsi" w:eastAsiaTheme="minorHAnsi" w:hAnsiTheme="minorHAnsi" w:cstheme="minorBidi"/>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F1763"/>
    <w:rPr>
      <w:rFonts w:asciiTheme="majorHAnsi" w:eastAsiaTheme="majorEastAsia" w:hAnsiTheme="majorHAnsi" w:cstheme="majorBidi"/>
      <w:b/>
      <w:bCs/>
      <w:sz w:val="26"/>
      <w:szCs w:val="26"/>
      <w:lang w:eastAsia="en-GB"/>
    </w:rPr>
  </w:style>
</w:styles>
</file>

<file path=word/webSettings.xml><?xml version="1.0" encoding="utf-8"?>
<w:webSettings xmlns:r="http://schemas.openxmlformats.org/officeDocument/2006/relationships" xmlns:w="http://schemas.openxmlformats.org/wordprocessingml/2006/main">
  <w:doNotSaveAsSingleFil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ocsld template.dot</Template>
  <TotalTime>2</TotalTime>
  <Pages>2</Pages>
  <Words>274</Words>
  <Characters>1566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1923</CharactersWithSpaces>
  <SharedDoc>false</SharedDoc>
  <HLinks>
    <vt:vector size="6" baseType="variant">
      <vt:variant>
        <vt:i4>3473498</vt:i4>
      </vt:variant>
      <vt:variant>
        <vt:i4>2107</vt:i4>
      </vt:variant>
      <vt:variant>
        <vt:i4>1025</vt:i4>
      </vt:variant>
      <vt:variant>
        <vt:i4>1</vt:i4>
      </vt:variant>
      <vt:variant>
        <vt:lpwstr>New logo colour low 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Smith</dc:creator>
  <cp:keywords/>
  <dc:description/>
  <cp:lastModifiedBy>Greg Benfield</cp:lastModifiedBy>
  <cp:revision>2</cp:revision>
  <dcterms:created xsi:type="dcterms:W3CDTF">2011-06-22T11:20:00Z</dcterms:created>
  <dcterms:modified xsi:type="dcterms:W3CDTF">2011-06-22T11:20:00Z</dcterms:modified>
</cp:coreProperties>
</file>