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9EC65" w14:textId="50FD1F39" w:rsidR="006132B6" w:rsidRDefault="00437AD7" w:rsidP="00437AD7">
      <w:pPr>
        <w:pStyle w:val="NonumberHeading1"/>
      </w:pPr>
      <w:r>
        <w:t>Commissioning Arrangements Self Assessment</w:t>
      </w:r>
    </w:p>
    <w:p w14:paraId="19A3BBA1" w14:textId="3961D4DF" w:rsidR="00437AD7" w:rsidRDefault="00437AD7" w:rsidP="00ED04D3"/>
    <w:p w14:paraId="7930507E" w14:textId="32ABCC18" w:rsidR="00437AD7" w:rsidRDefault="00437AD7" w:rsidP="00ED04D3">
      <w:r>
        <w:t>Name of service area/client group: ……………………………………………………………………………………….</w:t>
      </w:r>
    </w:p>
    <w:p w14:paraId="128C7D33" w14:textId="03C181E6" w:rsidR="00437AD7" w:rsidRDefault="00437AD7" w:rsidP="00ED04D3"/>
    <w:p w14:paraId="1565C692" w14:textId="77777777" w:rsidR="00437AD7" w:rsidRDefault="00437AD7" w:rsidP="00ED04D3">
      <w:pPr>
        <w:rPr>
          <w:rFonts w:cs="Arial"/>
          <w:szCs w:val="22"/>
        </w:rPr>
      </w:pPr>
      <w:r>
        <w:t xml:space="preserve">This self-assessment toolkit can be utilised to support your organisational arrangements to promote effective commissioning in a way that serves all of our diverse communities. We encourage you fill out this self-assessment with your colleagues in your commissioning team/service area. Evaluate the strengths and weaknesses </w:t>
      </w:r>
      <w:r>
        <w:rPr>
          <w:rFonts w:cs="Arial"/>
          <w:szCs w:val="22"/>
        </w:rPr>
        <w:t xml:space="preserve">of the commissioning arrangements for your service area or client group </w:t>
      </w:r>
      <w:r>
        <w:t>– giving each statement a mark out of 5, where 5 = strongly agree with the statement and 0 = strongly disagree – and justify your mark in the right-hand column.</w:t>
      </w:r>
      <w:r>
        <w:rPr>
          <w:rFonts w:cs="Arial"/>
          <w:szCs w:val="22"/>
        </w:rPr>
        <w:t xml:space="preserve"> </w:t>
      </w:r>
    </w:p>
    <w:p w14:paraId="31A10B7A" w14:textId="01C1D530" w:rsidR="00437AD7" w:rsidRDefault="00437AD7" w:rsidP="00ED04D3"/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4111"/>
        <w:gridCol w:w="1701"/>
        <w:gridCol w:w="8466"/>
      </w:tblGrid>
      <w:tr w:rsidR="00437AD7" w:rsidRPr="00437AD7" w14:paraId="5ADF1880" w14:textId="77777777" w:rsidTr="00ED0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4111" w:type="dxa"/>
          </w:tcPr>
          <w:p w14:paraId="0C2DF7FF" w14:textId="6DAAEEF4" w:rsidR="00437AD7" w:rsidRPr="00437AD7" w:rsidRDefault="00437AD7" w:rsidP="00437AD7">
            <w:pPr>
              <w:rPr>
                <w:b/>
                <w:bCs/>
                <w:color w:val="FFFFFF" w:themeColor="background1"/>
              </w:rPr>
            </w:pPr>
            <w:r w:rsidRPr="00437AD7">
              <w:rPr>
                <w:b/>
                <w:bCs/>
                <w:color w:val="FFFFFF" w:themeColor="background1"/>
              </w:rPr>
              <w:t>Statement</w:t>
            </w:r>
          </w:p>
        </w:tc>
        <w:tc>
          <w:tcPr>
            <w:tcW w:w="1701" w:type="dxa"/>
          </w:tcPr>
          <w:p w14:paraId="5A8F9F0B" w14:textId="0A79C48B" w:rsidR="00437AD7" w:rsidRPr="00437AD7" w:rsidRDefault="00437AD7" w:rsidP="0043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437AD7">
              <w:rPr>
                <w:b/>
                <w:bCs/>
                <w:color w:val="FFFFFF" w:themeColor="background1"/>
              </w:rPr>
              <w:t>0 – 5</w:t>
            </w:r>
          </w:p>
        </w:tc>
        <w:tc>
          <w:tcPr>
            <w:tcW w:w="8466" w:type="dxa"/>
          </w:tcPr>
          <w:p w14:paraId="52D545AE" w14:textId="0A0AABAF" w:rsidR="00437AD7" w:rsidRPr="00437AD7" w:rsidRDefault="00437AD7" w:rsidP="00437A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437AD7">
              <w:rPr>
                <w:b/>
                <w:bCs/>
                <w:color w:val="FFFFFF" w:themeColor="background1"/>
              </w:rPr>
              <w:t>Illustrative examples, comments</w:t>
            </w:r>
          </w:p>
        </w:tc>
      </w:tr>
      <w:tr w:rsidR="00437AD7" w:rsidRPr="00437AD7" w14:paraId="2C81EB91" w14:textId="77777777" w:rsidTr="00ED04D3">
        <w:tc>
          <w:tcPr>
            <w:tcW w:w="14278" w:type="dxa"/>
            <w:gridSpan w:val="3"/>
          </w:tcPr>
          <w:p w14:paraId="5FF3F16E" w14:textId="2103881A" w:rsidR="00437AD7" w:rsidRPr="00437AD7" w:rsidRDefault="00437AD7" w:rsidP="00437AD7">
            <w:pPr>
              <w:rPr>
                <w:b/>
                <w:bCs/>
              </w:rPr>
            </w:pPr>
            <w:r w:rsidRPr="00437AD7">
              <w:rPr>
                <w:b/>
                <w:bCs/>
              </w:rPr>
              <w:t>Analyse</w:t>
            </w:r>
          </w:p>
        </w:tc>
      </w:tr>
      <w:tr w:rsidR="00437AD7" w14:paraId="3841613C" w14:textId="77777777" w:rsidTr="00ED04D3">
        <w:tc>
          <w:tcPr>
            <w:tcW w:w="4111" w:type="dxa"/>
          </w:tcPr>
          <w:p w14:paraId="0F36F504" w14:textId="22C32BAE" w:rsidR="00437AD7" w:rsidRDefault="00437AD7" w:rsidP="00437AD7">
            <w:pPr>
              <w:pStyle w:val="TableNumberedbullet"/>
            </w:pPr>
            <w:r>
              <w:t>We routinely collect and analyse information to understand the current and future local population’s needs, including assign</w:t>
            </w:r>
            <w:r w:rsidR="00435917">
              <w:t>ing ongoing responsibilities and resources to identify or generate relevant information and data on Black, Asia</w:t>
            </w:r>
            <w:r w:rsidR="00CA2A16">
              <w:t>n</w:t>
            </w:r>
            <w:r w:rsidR="00435917">
              <w:t xml:space="preserve"> and Multi Ethnic communities, which contributes to the JSNA</w:t>
            </w:r>
          </w:p>
        </w:tc>
        <w:tc>
          <w:tcPr>
            <w:tcW w:w="1701" w:type="dxa"/>
          </w:tcPr>
          <w:p w14:paraId="4A625E0A" w14:textId="77777777" w:rsidR="00437AD7" w:rsidRDefault="00437AD7" w:rsidP="00437AD7"/>
        </w:tc>
        <w:tc>
          <w:tcPr>
            <w:tcW w:w="8466" w:type="dxa"/>
          </w:tcPr>
          <w:p w14:paraId="3ABE7954" w14:textId="77777777" w:rsidR="00437AD7" w:rsidRDefault="00437AD7" w:rsidP="00437AD7"/>
        </w:tc>
      </w:tr>
      <w:tr w:rsidR="00435917" w14:paraId="51D165C5" w14:textId="77777777" w:rsidTr="00ED04D3">
        <w:tc>
          <w:tcPr>
            <w:tcW w:w="4111" w:type="dxa"/>
          </w:tcPr>
          <w:p w14:paraId="3F3C0CD8" w14:textId="0CC08635" w:rsidR="00435917" w:rsidRDefault="00435917" w:rsidP="00435917">
            <w:pPr>
              <w:pStyle w:val="TableNumberedbullet"/>
            </w:pPr>
            <w:r w:rsidRPr="00E11270">
              <w:lastRenderedPageBreak/>
              <w:t>Needs analysis data is disaggregated by ethnic group rather than the collective BAME categorization</w:t>
            </w:r>
          </w:p>
        </w:tc>
        <w:tc>
          <w:tcPr>
            <w:tcW w:w="1701" w:type="dxa"/>
          </w:tcPr>
          <w:p w14:paraId="7DC59055" w14:textId="77777777" w:rsidR="00435917" w:rsidRDefault="00435917" w:rsidP="00435917"/>
        </w:tc>
        <w:tc>
          <w:tcPr>
            <w:tcW w:w="8466" w:type="dxa"/>
          </w:tcPr>
          <w:p w14:paraId="1F3F133A" w14:textId="77777777" w:rsidR="00435917" w:rsidRDefault="00435917" w:rsidP="00435917"/>
        </w:tc>
      </w:tr>
      <w:tr w:rsidR="00435917" w14:paraId="08FEC34C" w14:textId="77777777" w:rsidTr="00ED04D3">
        <w:tc>
          <w:tcPr>
            <w:tcW w:w="4111" w:type="dxa"/>
          </w:tcPr>
          <w:p w14:paraId="693A1E44" w14:textId="7FB82028" w:rsidR="00435917" w:rsidRDefault="00435917" w:rsidP="00435917">
            <w:pPr>
              <w:pStyle w:val="TableNumberedbullet"/>
            </w:pPr>
            <w:r w:rsidRPr="002B5402">
              <w:t xml:space="preserve">We proactively seek and report on a diverse pool of research and best practice evidence which includes </w:t>
            </w:r>
            <w:r w:rsidRPr="00E11270">
              <w:t xml:space="preserve">the perspectives of practitioners from </w:t>
            </w:r>
            <w:r>
              <w:t>Black, Asian and Multi Ethnic</w:t>
            </w:r>
            <w:r w:rsidRPr="00E11270">
              <w:t xml:space="preserve"> communities. This assists us in strong holistic decision making.</w:t>
            </w:r>
          </w:p>
        </w:tc>
        <w:tc>
          <w:tcPr>
            <w:tcW w:w="1701" w:type="dxa"/>
          </w:tcPr>
          <w:p w14:paraId="75A7FF86" w14:textId="77777777" w:rsidR="00435917" w:rsidRDefault="00435917" w:rsidP="00435917"/>
        </w:tc>
        <w:tc>
          <w:tcPr>
            <w:tcW w:w="8466" w:type="dxa"/>
          </w:tcPr>
          <w:p w14:paraId="4902BC4D" w14:textId="77777777" w:rsidR="00435917" w:rsidRDefault="00435917" w:rsidP="00435917"/>
        </w:tc>
      </w:tr>
      <w:tr w:rsidR="00435917" w14:paraId="0E594374" w14:textId="77777777" w:rsidTr="00ED04D3">
        <w:tc>
          <w:tcPr>
            <w:tcW w:w="4111" w:type="dxa"/>
          </w:tcPr>
          <w:p w14:paraId="3096EE9C" w14:textId="355A1EAA" w:rsidR="00435917" w:rsidRDefault="00435917" w:rsidP="00435917">
            <w:pPr>
              <w:pStyle w:val="TableNumberedbullet"/>
            </w:pPr>
            <w:r w:rsidRPr="002B5402">
              <w:t>We know what resources we have available for this service area/client group and we can confidently project our future financial commitments.</w:t>
            </w:r>
          </w:p>
        </w:tc>
        <w:tc>
          <w:tcPr>
            <w:tcW w:w="1701" w:type="dxa"/>
          </w:tcPr>
          <w:p w14:paraId="294CB2C3" w14:textId="77777777" w:rsidR="00435917" w:rsidRDefault="00435917" w:rsidP="00435917"/>
        </w:tc>
        <w:tc>
          <w:tcPr>
            <w:tcW w:w="8466" w:type="dxa"/>
          </w:tcPr>
          <w:p w14:paraId="7E729F61" w14:textId="77777777" w:rsidR="00435917" w:rsidRDefault="00435917" w:rsidP="00435917"/>
        </w:tc>
      </w:tr>
      <w:tr w:rsidR="00435917" w14:paraId="0B8489E1" w14:textId="77777777" w:rsidTr="00ED04D3">
        <w:tc>
          <w:tcPr>
            <w:tcW w:w="4111" w:type="dxa"/>
          </w:tcPr>
          <w:p w14:paraId="117D6C52" w14:textId="32FFDC78" w:rsidR="00435917" w:rsidRDefault="00435917" w:rsidP="00435917">
            <w:pPr>
              <w:pStyle w:val="TableNumberedbullet"/>
            </w:pPr>
            <w:r w:rsidRPr="00874DDE">
              <w:t xml:space="preserve">In analysing our </w:t>
            </w:r>
            <w:r>
              <w:t>p</w:t>
            </w:r>
            <w:r w:rsidRPr="00874DDE">
              <w:t xml:space="preserve">rovider landscape we ensure that we work with a diverse range of </w:t>
            </w:r>
            <w:r>
              <w:t>p</w:t>
            </w:r>
            <w:r w:rsidRPr="00874DDE">
              <w:t>roviders who in turn are able to meet the needs of all sections of our communities that we serve.</w:t>
            </w:r>
          </w:p>
        </w:tc>
        <w:tc>
          <w:tcPr>
            <w:tcW w:w="1701" w:type="dxa"/>
          </w:tcPr>
          <w:p w14:paraId="13B13B97" w14:textId="77777777" w:rsidR="00435917" w:rsidRDefault="00435917" w:rsidP="00435917"/>
        </w:tc>
        <w:tc>
          <w:tcPr>
            <w:tcW w:w="8466" w:type="dxa"/>
          </w:tcPr>
          <w:p w14:paraId="1147D35E" w14:textId="77777777" w:rsidR="00435917" w:rsidRDefault="00435917" w:rsidP="00435917"/>
        </w:tc>
      </w:tr>
      <w:tr w:rsidR="00435917" w14:paraId="4DA3E057" w14:textId="77777777" w:rsidTr="00ED04D3">
        <w:tc>
          <w:tcPr>
            <w:tcW w:w="4111" w:type="dxa"/>
          </w:tcPr>
          <w:p w14:paraId="72E82DC3" w14:textId="588B8FF2" w:rsidR="00435917" w:rsidRDefault="00435917" w:rsidP="00435917">
            <w:pPr>
              <w:pStyle w:val="TableNumberedbullet"/>
            </w:pPr>
            <w:r w:rsidRPr="002B5402">
              <w:t xml:space="preserve">We are able to benchmark the costs and performance of </w:t>
            </w:r>
            <w:r w:rsidRPr="002B5402">
              <w:lastRenderedPageBreak/>
              <w:t>services to understand how they compare to other local areas.</w:t>
            </w:r>
          </w:p>
        </w:tc>
        <w:tc>
          <w:tcPr>
            <w:tcW w:w="1701" w:type="dxa"/>
          </w:tcPr>
          <w:p w14:paraId="50307D83" w14:textId="77777777" w:rsidR="00435917" w:rsidRDefault="00435917" w:rsidP="00435917"/>
        </w:tc>
        <w:tc>
          <w:tcPr>
            <w:tcW w:w="8466" w:type="dxa"/>
          </w:tcPr>
          <w:p w14:paraId="6F4BE52D" w14:textId="77777777" w:rsidR="00435917" w:rsidRDefault="00435917" w:rsidP="00435917"/>
        </w:tc>
      </w:tr>
      <w:tr w:rsidR="00435917" w14:paraId="0D67FFA5" w14:textId="77777777" w:rsidTr="00ED04D3">
        <w:tc>
          <w:tcPr>
            <w:tcW w:w="4111" w:type="dxa"/>
          </w:tcPr>
          <w:p w14:paraId="07DF8108" w14:textId="70B77ADF" w:rsidR="00435917" w:rsidRPr="00435917" w:rsidRDefault="00435917" w:rsidP="00435917">
            <w:pPr>
              <w:pStyle w:val="TableNumberedbullet"/>
            </w:pPr>
            <w:r w:rsidRPr="00A03415">
              <w:t xml:space="preserve">We have systematic processes for meaningful engagement in the commissioning and purchasing of services with all of the diverse communities that we serve. </w:t>
            </w:r>
          </w:p>
        </w:tc>
        <w:tc>
          <w:tcPr>
            <w:tcW w:w="1701" w:type="dxa"/>
          </w:tcPr>
          <w:p w14:paraId="2465D345" w14:textId="77777777" w:rsidR="00435917" w:rsidRDefault="00435917" w:rsidP="00435917"/>
        </w:tc>
        <w:tc>
          <w:tcPr>
            <w:tcW w:w="8466" w:type="dxa"/>
          </w:tcPr>
          <w:p w14:paraId="7166BCDB" w14:textId="77777777" w:rsidR="00435917" w:rsidRDefault="00435917" w:rsidP="00435917"/>
        </w:tc>
      </w:tr>
      <w:tr w:rsidR="00435917" w:rsidRPr="00435917" w14:paraId="7B2BD5F0" w14:textId="77777777" w:rsidTr="00ED04D3">
        <w:tc>
          <w:tcPr>
            <w:tcW w:w="14278" w:type="dxa"/>
            <w:gridSpan w:val="3"/>
          </w:tcPr>
          <w:p w14:paraId="1C6C209D" w14:textId="6D61ECAC" w:rsidR="00435917" w:rsidRPr="00435917" w:rsidRDefault="00435917" w:rsidP="00435917">
            <w:pPr>
              <w:rPr>
                <w:b/>
                <w:bCs/>
              </w:rPr>
            </w:pPr>
            <w:r w:rsidRPr="00435917">
              <w:rPr>
                <w:b/>
                <w:bCs/>
              </w:rPr>
              <w:t>Plan</w:t>
            </w:r>
          </w:p>
        </w:tc>
      </w:tr>
      <w:tr w:rsidR="00435917" w14:paraId="4B7464A1" w14:textId="77777777" w:rsidTr="00ED04D3">
        <w:tc>
          <w:tcPr>
            <w:tcW w:w="4111" w:type="dxa"/>
          </w:tcPr>
          <w:p w14:paraId="633B1718" w14:textId="5A802FF1" w:rsidR="00435917" w:rsidRDefault="00435917" w:rsidP="00435917">
            <w:pPr>
              <w:pStyle w:val="TableNumberedbullet"/>
            </w:pPr>
            <w:r w:rsidRPr="002D7711">
              <w:t xml:space="preserve">We have </w:t>
            </w:r>
            <w:r w:rsidRPr="002B5402">
              <w:t xml:space="preserve">a clear, written strategy or agreed outcomes for the service area/client group that signals our future </w:t>
            </w:r>
            <w:r w:rsidRPr="00A03415">
              <w:t xml:space="preserve">commissioning intentions </w:t>
            </w:r>
            <w:r w:rsidRPr="002B5402">
              <w:t>for the local area.</w:t>
            </w:r>
          </w:p>
        </w:tc>
        <w:tc>
          <w:tcPr>
            <w:tcW w:w="1701" w:type="dxa"/>
          </w:tcPr>
          <w:p w14:paraId="6CF1E96E" w14:textId="77777777" w:rsidR="00435917" w:rsidRDefault="00435917" w:rsidP="00435917"/>
        </w:tc>
        <w:tc>
          <w:tcPr>
            <w:tcW w:w="8466" w:type="dxa"/>
          </w:tcPr>
          <w:p w14:paraId="17950884" w14:textId="77777777" w:rsidR="00435917" w:rsidRDefault="00435917" w:rsidP="00435917"/>
        </w:tc>
      </w:tr>
      <w:tr w:rsidR="00435917" w14:paraId="255D6C29" w14:textId="77777777" w:rsidTr="00ED04D3">
        <w:tc>
          <w:tcPr>
            <w:tcW w:w="4111" w:type="dxa"/>
          </w:tcPr>
          <w:p w14:paraId="3078CCD3" w14:textId="39DB4429" w:rsidR="00435917" w:rsidRDefault="00435917" w:rsidP="00435917">
            <w:pPr>
              <w:pStyle w:val="TableNumberedbullet"/>
            </w:pPr>
            <w:r w:rsidRPr="00A03415">
              <w:t xml:space="preserve">We ensure that the development of specifications and contracts/service level agreements do not adversely impact </w:t>
            </w:r>
            <w:r>
              <w:t xml:space="preserve">Black Asian and Multi Ethnic run </w:t>
            </w:r>
            <w:r w:rsidRPr="00A03415">
              <w:t>organizations</w:t>
            </w:r>
            <w:r>
              <w:t xml:space="preserve"> and communities</w:t>
            </w:r>
            <w:r w:rsidRPr="00A03415">
              <w:t xml:space="preserve">. </w:t>
            </w:r>
          </w:p>
        </w:tc>
        <w:tc>
          <w:tcPr>
            <w:tcW w:w="1701" w:type="dxa"/>
          </w:tcPr>
          <w:p w14:paraId="25568C07" w14:textId="77777777" w:rsidR="00435917" w:rsidRDefault="00435917" w:rsidP="00435917"/>
        </w:tc>
        <w:tc>
          <w:tcPr>
            <w:tcW w:w="8466" w:type="dxa"/>
          </w:tcPr>
          <w:p w14:paraId="0446A610" w14:textId="77777777" w:rsidR="00435917" w:rsidRDefault="00435917" w:rsidP="00435917"/>
        </w:tc>
      </w:tr>
      <w:tr w:rsidR="00435917" w14:paraId="4168BB8B" w14:textId="77777777" w:rsidTr="00ED04D3">
        <w:tc>
          <w:tcPr>
            <w:tcW w:w="4111" w:type="dxa"/>
          </w:tcPr>
          <w:p w14:paraId="552FEC54" w14:textId="0BA2BA2F" w:rsidR="00435917" w:rsidRDefault="00435917" w:rsidP="00435917">
            <w:pPr>
              <w:pStyle w:val="TableNumberedbullet"/>
            </w:pPr>
            <w:r w:rsidRPr="00A03415">
              <w:t xml:space="preserve">We have a thorough understanding of our Public </w:t>
            </w:r>
            <w:r w:rsidRPr="00A03415">
              <w:lastRenderedPageBreak/>
              <w:t>Sector Equality Duty and the implications of this.</w:t>
            </w:r>
          </w:p>
        </w:tc>
        <w:tc>
          <w:tcPr>
            <w:tcW w:w="1701" w:type="dxa"/>
          </w:tcPr>
          <w:p w14:paraId="2A8A2C35" w14:textId="77777777" w:rsidR="00435917" w:rsidRDefault="00435917" w:rsidP="00435917"/>
        </w:tc>
        <w:tc>
          <w:tcPr>
            <w:tcW w:w="8466" w:type="dxa"/>
          </w:tcPr>
          <w:p w14:paraId="11CEB0FE" w14:textId="77777777" w:rsidR="00435917" w:rsidRDefault="00435917" w:rsidP="00435917"/>
        </w:tc>
      </w:tr>
      <w:tr w:rsidR="00435917" w14:paraId="24A8CC56" w14:textId="77777777" w:rsidTr="00ED04D3">
        <w:tc>
          <w:tcPr>
            <w:tcW w:w="4111" w:type="dxa"/>
          </w:tcPr>
          <w:p w14:paraId="002990E0" w14:textId="55149A31" w:rsidR="00435917" w:rsidRDefault="00435917" w:rsidP="00435917">
            <w:pPr>
              <w:pStyle w:val="TableNumberedbullet"/>
            </w:pPr>
            <w:r w:rsidRPr="00A03415">
              <w:t>We conduct in depth equality impact assessments, obtaining external input to ensure our assessments are linked with actions which are reviewed regularly.</w:t>
            </w:r>
          </w:p>
        </w:tc>
        <w:tc>
          <w:tcPr>
            <w:tcW w:w="1701" w:type="dxa"/>
          </w:tcPr>
          <w:p w14:paraId="55A789B8" w14:textId="77777777" w:rsidR="00435917" w:rsidRDefault="00435917" w:rsidP="00435917"/>
        </w:tc>
        <w:tc>
          <w:tcPr>
            <w:tcW w:w="8466" w:type="dxa"/>
          </w:tcPr>
          <w:p w14:paraId="175B4D15" w14:textId="77777777" w:rsidR="00435917" w:rsidRDefault="00435917" w:rsidP="00435917"/>
        </w:tc>
      </w:tr>
      <w:tr w:rsidR="00435917" w14:paraId="2D8A545E" w14:textId="77777777" w:rsidTr="00ED04D3">
        <w:tc>
          <w:tcPr>
            <w:tcW w:w="4111" w:type="dxa"/>
          </w:tcPr>
          <w:p w14:paraId="6EC702F6" w14:textId="4674545F" w:rsidR="00435917" w:rsidRDefault="00435917" w:rsidP="00435917">
            <w:pPr>
              <w:pStyle w:val="TableNumberedbullet"/>
            </w:pPr>
            <w:r w:rsidRPr="00A03415">
              <w:t xml:space="preserve">We have recent and on-going dialogue with a wide range of diverse partners, </w:t>
            </w:r>
            <w:r>
              <w:t>including Black Asian and Multi</w:t>
            </w:r>
            <w:r w:rsidRPr="00A03415">
              <w:t xml:space="preserve"> Ethnic and </w:t>
            </w:r>
            <w:r>
              <w:t>w</w:t>
            </w:r>
            <w:r w:rsidRPr="00A03415">
              <w:t>omen owned provider organisations, to build consensus on the implications of the commissioning strategy</w:t>
            </w:r>
            <w:r w:rsidRPr="00874DDE">
              <w:t xml:space="preserve"> or plan.</w:t>
            </w:r>
          </w:p>
        </w:tc>
        <w:tc>
          <w:tcPr>
            <w:tcW w:w="1701" w:type="dxa"/>
          </w:tcPr>
          <w:p w14:paraId="63C98463" w14:textId="77777777" w:rsidR="00435917" w:rsidRDefault="00435917" w:rsidP="00435917"/>
        </w:tc>
        <w:tc>
          <w:tcPr>
            <w:tcW w:w="8466" w:type="dxa"/>
          </w:tcPr>
          <w:p w14:paraId="44E8AEE5" w14:textId="77777777" w:rsidR="00435917" w:rsidRDefault="00435917" w:rsidP="00435917"/>
        </w:tc>
      </w:tr>
      <w:tr w:rsidR="00435917" w14:paraId="18260F42" w14:textId="77777777" w:rsidTr="00ED04D3">
        <w:tc>
          <w:tcPr>
            <w:tcW w:w="4111" w:type="dxa"/>
          </w:tcPr>
          <w:p w14:paraId="08FCDDDC" w14:textId="55E6724E" w:rsidR="00435917" w:rsidRDefault="00435917" w:rsidP="00435917">
            <w:pPr>
              <w:pStyle w:val="TableNumberedbullet"/>
            </w:pPr>
            <w:r w:rsidRPr="002B5402">
              <w:t>We develop business cases, and where appropriate options appraisals, when designing or reconfiguring services.</w:t>
            </w:r>
          </w:p>
        </w:tc>
        <w:tc>
          <w:tcPr>
            <w:tcW w:w="1701" w:type="dxa"/>
          </w:tcPr>
          <w:p w14:paraId="67D7F2D2" w14:textId="77777777" w:rsidR="00435917" w:rsidRDefault="00435917" w:rsidP="00435917"/>
        </w:tc>
        <w:tc>
          <w:tcPr>
            <w:tcW w:w="8466" w:type="dxa"/>
          </w:tcPr>
          <w:p w14:paraId="628B6171" w14:textId="77777777" w:rsidR="00435917" w:rsidRDefault="00435917" w:rsidP="00435917"/>
        </w:tc>
      </w:tr>
      <w:tr w:rsidR="00435917" w14:paraId="6E85E47D" w14:textId="77777777" w:rsidTr="00ED04D3">
        <w:tc>
          <w:tcPr>
            <w:tcW w:w="4111" w:type="dxa"/>
          </w:tcPr>
          <w:p w14:paraId="76AA3036" w14:textId="5997B478" w:rsidR="00435917" w:rsidRDefault="00435917" w:rsidP="00435917">
            <w:pPr>
              <w:pStyle w:val="TableNumberedbullet"/>
            </w:pPr>
            <w:r w:rsidRPr="002B5402">
              <w:t xml:space="preserve">We have developed a person-centred approach to commissioning, which enables individuals, and local communities, to maximise </w:t>
            </w:r>
            <w:r w:rsidRPr="002B5402">
              <w:lastRenderedPageBreak/>
              <w:t>choice and control over the services they use.</w:t>
            </w:r>
          </w:p>
        </w:tc>
        <w:tc>
          <w:tcPr>
            <w:tcW w:w="1701" w:type="dxa"/>
          </w:tcPr>
          <w:p w14:paraId="7A087FA6" w14:textId="77777777" w:rsidR="00435917" w:rsidRDefault="00435917" w:rsidP="00435917"/>
        </w:tc>
        <w:tc>
          <w:tcPr>
            <w:tcW w:w="8466" w:type="dxa"/>
          </w:tcPr>
          <w:p w14:paraId="33160335" w14:textId="77777777" w:rsidR="00435917" w:rsidRDefault="00435917" w:rsidP="00435917"/>
        </w:tc>
      </w:tr>
      <w:tr w:rsidR="00435917" w14:paraId="4C75BC9B" w14:textId="77777777" w:rsidTr="00ED04D3">
        <w:tc>
          <w:tcPr>
            <w:tcW w:w="4111" w:type="dxa"/>
          </w:tcPr>
          <w:p w14:paraId="79FA9E1F" w14:textId="6FDFDA35" w:rsidR="00435917" w:rsidRPr="002B5402" w:rsidRDefault="00435917" w:rsidP="00435917">
            <w:pPr>
              <w:pStyle w:val="TableNumberedbullet"/>
            </w:pPr>
            <w:r w:rsidRPr="002B5402">
              <w:t>We have effective strategies for communicating commissioning issues with a range of stakeholders.</w:t>
            </w:r>
          </w:p>
        </w:tc>
        <w:tc>
          <w:tcPr>
            <w:tcW w:w="1701" w:type="dxa"/>
          </w:tcPr>
          <w:p w14:paraId="1E90F7FC" w14:textId="77777777" w:rsidR="00435917" w:rsidRDefault="00435917" w:rsidP="00435917"/>
        </w:tc>
        <w:tc>
          <w:tcPr>
            <w:tcW w:w="8466" w:type="dxa"/>
          </w:tcPr>
          <w:p w14:paraId="3A86479A" w14:textId="77777777" w:rsidR="00435917" w:rsidRDefault="00435917" w:rsidP="00435917"/>
        </w:tc>
      </w:tr>
      <w:tr w:rsidR="00435917" w:rsidRPr="00435917" w14:paraId="06FD226D" w14:textId="77777777" w:rsidTr="00ED04D3">
        <w:tc>
          <w:tcPr>
            <w:tcW w:w="14278" w:type="dxa"/>
            <w:gridSpan w:val="3"/>
          </w:tcPr>
          <w:p w14:paraId="0409CCA9" w14:textId="52CBF2E0" w:rsidR="00435917" w:rsidRPr="00435917" w:rsidRDefault="00435917" w:rsidP="00435917">
            <w:pPr>
              <w:rPr>
                <w:b/>
                <w:bCs/>
              </w:rPr>
            </w:pPr>
            <w:r w:rsidRPr="00435917">
              <w:rPr>
                <w:b/>
                <w:bCs/>
              </w:rPr>
              <w:t>Do</w:t>
            </w:r>
          </w:p>
        </w:tc>
      </w:tr>
      <w:tr w:rsidR="00435917" w14:paraId="520F249C" w14:textId="77777777" w:rsidTr="00ED04D3">
        <w:tc>
          <w:tcPr>
            <w:tcW w:w="4111" w:type="dxa"/>
          </w:tcPr>
          <w:p w14:paraId="78A512FA" w14:textId="301353AF" w:rsidR="00435917" w:rsidRPr="002B5402" w:rsidRDefault="00435917" w:rsidP="00435917">
            <w:pPr>
              <w:pStyle w:val="TableNumberedbullet"/>
            </w:pPr>
            <w:r w:rsidRPr="00A03415">
              <w:t>We have a good understanding of the diverse range of providers in our area, their strengths and weaknesses and future plans.</w:t>
            </w:r>
            <w:r w:rsidRPr="00874DDE">
              <w:t xml:space="preserve"> </w:t>
            </w:r>
          </w:p>
        </w:tc>
        <w:tc>
          <w:tcPr>
            <w:tcW w:w="1701" w:type="dxa"/>
          </w:tcPr>
          <w:p w14:paraId="6FD5FA34" w14:textId="77777777" w:rsidR="00435917" w:rsidRDefault="00435917" w:rsidP="00435917"/>
        </w:tc>
        <w:tc>
          <w:tcPr>
            <w:tcW w:w="8466" w:type="dxa"/>
          </w:tcPr>
          <w:p w14:paraId="7EEC809E" w14:textId="77777777" w:rsidR="00435917" w:rsidRDefault="00435917" w:rsidP="00435917"/>
        </w:tc>
      </w:tr>
      <w:tr w:rsidR="00435917" w14:paraId="6197F5AF" w14:textId="77777777" w:rsidTr="00ED04D3">
        <w:tc>
          <w:tcPr>
            <w:tcW w:w="4111" w:type="dxa"/>
          </w:tcPr>
          <w:p w14:paraId="6325BFB6" w14:textId="13022C19" w:rsidR="00435917" w:rsidRPr="002B5402" w:rsidRDefault="00435917" w:rsidP="00435917">
            <w:pPr>
              <w:pStyle w:val="TableNumberedbullet"/>
            </w:pPr>
            <w:r w:rsidRPr="00A03415">
              <w:rPr>
                <w:rFonts w:cs="Arial"/>
              </w:rPr>
              <w:t>We proactively ensure th</w:t>
            </w:r>
            <w:r>
              <w:rPr>
                <w:rFonts w:cs="Arial"/>
              </w:rPr>
              <w:t>at Black, Asian and Multi Ethnic</w:t>
            </w:r>
            <w:r w:rsidRPr="00A03415">
              <w:rPr>
                <w:rFonts w:cs="Arial"/>
              </w:rPr>
              <w:t xml:space="preserve"> and VCS organisations have equal access to procurement and grant opportunities and undertake capacity building where appropriate.</w:t>
            </w:r>
          </w:p>
        </w:tc>
        <w:tc>
          <w:tcPr>
            <w:tcW w:w="1701" w:type="dxa"/>
          </w:tcPr>
          <w:p w14:paraId="3A389AA2" w14:textId="77777777" w:rsidR="00435917" w:rsidRDefault="00435917" w:rsidP="00435917"/>
        </w:tc>
        <w:tc>
          <w:tcPr>
            <w:tcW w:w="8466" w:type="dxa"/>
          </w:tcPr>
          <w:p w14:paraId="289119CF" w14:textId="77777777" w:rsidR="00435917" w:rsidRDefault="00435917" w:rsidP="00435917"/>
        </w:tc>
      </w:tr>
      <w:tr w:rsidR="00435917" w14:paraId="32973548" w14:textId="77777777" w:rsidTr="00ED04D3">
        <w:tc>
          <w:tcPr>
            <w:tcW w:w="4111" w:type="dxa"/>
          </w:tcPr>
          <w:p w14:paraId="5793CA44" w14:textId="695AFA86" w:rsidR="00435917" w:rsidRPr="002B5402" w:rsidRDefault="00435917" w:rsidP="00435917">
            <w:pPr>
              <w:pStyle w:val="TableNumberedbullet"/>
            </w:pPr>
            <w:r w:rsidRPr="002B5402">
              <w:t>We are able to influence the market to develop services in line with our population needs, rather than the historical awarding of contracts.</w:t>
            </w:r>
          </w:p>
        </w:tc>
        <w:tc>
          <w:tcPr>
            <w:tcW w:w="1701" w:type="dxa"/>
          </w:tcPr>
          <w:p w14:paraId="5BC37336" w14:textId="77777777" w:rsidR="00435917" w:rsidRDefault="00435917" w:rsidP="00435917"/>
        </w:tc>
        <w:tc>
          <w:tcPr>
            <w:tcW w:w="8466" w:type="dxa"/>
          </w:tcPr>
          <w:p w14:paraId="7427B6A8" w14:textId="77777777" w:rsidR="00435917" w:rsidRDefault="00435917" w:rsidP="00435917"/>
        </w:tc>
      </w:tr>
      <w:tr w:rsidR="00435917" w14:paraId="4E7D4E34" w14:textId="77777777" w:rsidTr="00ED04D3">
        <w:tc>
          <w:tcPr>
            <w:tcW w:w="4111" w:type="dxa"/>
          </w:tcPr>
          <w:p w14:paraId="27FD9802" w14:textId="783D1B42" w:rsidR="00435917" w:rsidRPr="002B5402" w:rsidRDefault="00435917" w:rsidP="00435917">
            <w:pPr>
              <w:pStyle w:val="TableNumberedbullet"/>
            </w:pPr>
            <w:r w:rsidRPr="002B5402">
              <w:lastRenderedPageBreak/>
              <w:t>We have regular and productive dialogue with providers which encourages ‘consensus’ and partnership orientated relationships.</w:t>
            </w:r>
          </w:p>
        </w:tc>
        <w:tc>
          <w:tcPr>
            <w:tcW w:w="1701" w:type="dxa"/>
          </w:tcPr>
          <w:p w14:paraId="46BD3A9A" w14:textId="77777777" w:rsidR="00435917" w:rsidRDefault="00435917" w:rsidP="00435917"/>
        </w:tc>
        <w:tc>
          <w:tcPr>
            <w:tcW w:w="8466" w:type="dxa"/>
          </w:tcPr>
          <w:p w14:paraId="647DF06C" w14:textId="77777777" w:rsidR="00435917" w:rsidRDefault="00435917" w:rsidP="00435917"/>
        </w:tc>
      </w:tr>
      <w:tr w:rsidR="00435917" w14:paraId="2A709DD7" w14:textId="77777777" w:rsidTr="00ED04D3">
        <w:tc>
          <w:tcPr>
            <w:tcW w:w="4111" w:type="dxa"/>
          </w:tcPr>
          <w:p w14:paraId="2F951DE0" w14:textId="391F0358" w:rsidR="00435917" w:rsidRPr="002B5402" w:rsidRDefault="00435917" w:rsidP="00435917">
            <w:pPr>
              <w:pStyle w:val="TableNumberedbullet"/>
            </w:pPr>
            <w:r w:rsidRPr="002B5402">
              <w:rPr>
                <w:rFonts w:cs="Arial"/>
              </w:rPr>
              <w:t>Our service specifications are evidenced based, specific about what is required from the provider and outcome focused.</w:t>
            </w:r>
          </w:p>
        </w:tc>
        <w:tc>
          <w:tcPr>
            <w:tcW w:w="1701" w:type="dxa"/>
          </w:tcPr>
          <w:p w14:paraId="06A7D845" w14:textId="77777777" w:rsidR="00435917" w:rsidRDefault="00435917" w:rsidP="00435917"/>
        </w:tc>
        <w:tc>
          <w:tcPr>
            <w:tcW w:w="8466" w:type="dxa"/>
          </w:tcPr>
          <w:p w14:paraId="702083E3" w14:textId="77777777" w:rsidR="00435917" w:rsidRDefault="00435917" w:rsidP="00435917"/>
        </w:tc>
      </w:tr>
      <w:tr w:rsidR="00435917" w14:paraId="591CACCC" w14:textId="77777777" w:rsidTr="00ED04D3">
        <w:tc>
          <w:tcPr>
            <w:tcW w:w="4111" w:type="dxa"/>
          </w:tcPr>
          <w:p w14:paraId="62D032F7" w14:textId="77777777" w:rsidR="00435917" w:rsidRDefault="00435917" w:rsidP="00435917">
            <w:pPr>
              <w:pStyle w:val="TableNumberedbullet"/>
            </w:pPr>
            <w:r w:rsidRPr="00A03415">
              <w:t>We have an established and fair policies and procedures in place that ensure we treat all of our providers equally, whether internal or external. This has helped us establish a reputation as a fair, open and transparent purchaser.</w:t>
            </w:r>
          </w:p>
          <w:p w14:paraId="12905B3F" w14:textId="56A714A7" w:rsidR="00F35111" w:rsidRPr="002B5402" w:rsidRDefault="00F35111" w:rsidP="00F35111"/>
        </w:tc>
        <w:tc>
          <w:tcPr>
            <w:tcW w:w="1701" w:type="dxa"/>
          </w:tcPr>
          <w:p w14:paraId="4709341D" w14:textId="77777777" w:rsidR="00435917" w:rsidRDefault="00435917" w:rsidP="00435917"/>
        </w:tc>
        <w:tc>
          <w:tcPr>
            <w:tcW w:w="8466" w:type="dxa"/>
          </w:tcPr>
          <w:p w14:paraId="4721072A" w14:textId="77777777" w:rsidR="00435917" w:rsidRDefault="00435917" w:rsidP="00435917"/>
        </w:tc>
      </w:tr>
      <w:tr w:rsidR="00435917" w:rsidRPr="00435917" w14:paraId="786CA6A1" w14:textId="77777777" w:rsidTr="00ED04D3">
        <w:tc>
          <w:tcPr>
            <w:tcW w:w="14278" w:type="dxa"/>
            <w:gridSpan w:val="3"/>
          </w:tcPr>
          <w:p w14:paraId="2A78D413" w14:textId="020C2293" w:rsidR="00435917" w:rsidRPr="00435917" w:rsidRDefault="00435917" w:rsidP="00435917">
            <w:pPr>
              <w:rPr>
                <w:b/>
                <w:bCs/>
              </w:rPr>
            </w:pPr>
            <w:r w:rsidRPr="00435917">
              <w:rPr>
                <w:b/>
                <w:bCs/>
              </w:rPr>
              <w:t>Review</w:t>
            </w:r>
          </w:p>
        </w:tc>
      </w:tr>
      <w:tr w:rsidR="00435917" w14:paraId="2C250BC4" w14:textId="77777777" w:rsidTr="00ED04D3">
        <w:tc>
          <w:tcPr>
            <w:tcW w:w="4111" w:type="dxa"/>
          </w:tcPr>
          <w:p w14:paraId="41D62927" w14:textId="73C52D16" w:rsidR="00435917" w:rsidRPr="002B5402" w:rsidRDefault="00435917" w:rsidP="00435917">
            <w:pPr>
              <w:pStyle w:val="TableNumberedbullet"/>
            </w:pPr>
            <w:r w:rsidRPr="00A03415">
              <w:t>Our procurement and contract monitoring activities are fair and proportionate to risk.</w:t>
            </w:r>
          </w:p>
        </w:tc>
        <w:tc>
          <w:tcPr>
            <w:tcW w:w="1701" w:type="dxa"/>
          </w:tcPr>
          <w:p w14:paraId="4FF5A47E" w14:textId="77777777" w:rsidR="00435917" w:rsidRDefault="00435917" w:rsidP="00435917"/>
        </w:tc>
        <w:tc>
          <w:tcPr>
            <w:tcW w:w="8466" w:type="dxa"/>
          </w:tcPr>
          <w:p w14:paraId="1DB4621F" w14:textId="77777777" w:rsidR="00435917" w:rsidRDefault="00435917" w:rsidP="00435917"/>
        </w:tc>
      </w:tr>
      <w:tr w:rsidR="00435917" w14:paraId="4529D0CE" w14:textId="77777777" w:rsidTr="00ED04D3">
        <w:tc>
          <w:tcPr>
            <w:tcW w:w="4111" w:type="dxa"/>
          </w:tcPr>
          <w:p w14:paraId="2D0BB247" w14:textId="684B8787" w:rsidR="00435917" w:rsidRPr="002B5402" w:rsidRDefault="00435917" w:rsidP="00435917">
            <w:pPr>
              <w:pStyle w:val="TableNumberedbullet"/>
            </w:pPr>
            <w:r w:rsidRPr="002B5402">
              <w:t xml:space="preserve">We are able to bring together relevant data on activity, finance and outcomes for services, to </w:t>
            </w:r>
            <w:r w:rsidRPr="002B5402">
              <w:lastRenderedPageBreak/>
              <w:t>judge whether they give value for money.</w:t>
            </w:r>
          </w:p>
        </w:tc>
        <w:tc>
          <w:tcPr>
            <w:tcW w:w="1701" w:type="dxa"/>
          </w:tcPr>
          <w:p w14:paraId="34C309A9" w14:textId="77777777" w:rsidR="00435917" w:rsidRDefault="00435917" w:rsidP="00435917"/>
        </w:tc>
        <w:tc>
          <w:tcPr>
            <w:tcW w:w="8466" w:type="dxa"/>
          </w:tcPr>
          <w:p w14:paraId="39567741" w14:textId="77777777" w:rsidR="00435917" w:rsidRDefault="00435917" w:rsidP="00435917"/>
        </w:tc>
      </w:tr>
      <w:tr w:rsidR="00435917" w14:paraId="146AFEBC" w14:textId="77777777" w:rsidTr="00ED04D3">
        <w:tc>
          <w:tcPr>
            <w:tcW w:w="4111" w:type="dxa"/>
          </w:tcPr>
          <w:p w14:paraId="72AC3AE5" w14:textId="79C17010" w:rsidR="00435917" w:rsidRPr="002B5402" w:rsidRDefault="00435917" w:rsidP="00435917">
            <w:pPr>
              <w:pStyle w:val="TableNumberedbullet"/>
            </w:pPr>
            <w:r w:rsidRPr="002B5402">
              <w:t>Our contracts and specifications include appropriate levers to enable us to influence performance and explore efficiency savings.</w:t>
            </w:r>
          </w:p>
        </w:tc>
        <w:tc>
          <w:tcPr>
            <w:tcW w:w="1701" w:type="dxa"/>
          </w:tcPr>
          <w:p w14:paraId="545C644B" w14:textId="77777777" w:rsidR="00435917" w:rsidRDefault="00435917" w:rsidP="00435917"/>
        </w:tc>
        <w:tc>
          <w:tcPr>
            <w:tcW w:w="8466" w:type="dxa"/>
          </w:tcPr>
          <w:p w14:paraId="778069E2" w14:textId="77777777" w:rsidR="00435917" w:rsidRDefault="00435917" w:rsidP="00435917"/>
        </w:tc>
      </w:tr>
      <w:tr w:rsidR="00435917" w14:paraId="320C1C2F" w14:textId="77777777" w:rsidTr="00ED04D3">
        <w:tc>
          <w:tcPr>
            <w:tcW w:w="4111" w:type="dxa"/>
          </w:tcPr>
          <w:p w14:paraId="77F1BA95" w14:textId="56A935CB" w:rsidR="00435917" w:rsidRPr="002B5402" w:rsidRDefault="00435917" w:rsidP="00435917">
            <w:pPr>
              <w:pStyle w:val="TableNumberedbullet"/>
            </w:pPr>
            <w:r w:rsidRPr="002B5402">
              <w:t xml:space="preserve">We decommission services where they fail to meet outcomes, provide value for money, </w:t>
            </w:r>
            <w:r>
              <w:t>and/</w:t>
            </w:r>
            <w:r w:rsidRPr="002B5402">
              <w:t>or the requirement has changed.</w:t>
            </w:r>
          </w:p>
        </w:tc>
        <w:tc>
          <w:tcPr>
            <w:tcW w:w="1701" w:type="dxa"/>
          </w:tcPr>
          <w:p w14:paraId="0F8FD8EC" w14:textId="77777777" w:rsidR="00435917" w:rsidRDefault="00435917" w:rsidP="00435917"/>
        </w:tc>
        <w:tc>
          <w:tcPr>
            <w:tcW w:w="8466" w:type="dxa"/>
          </w:tcPr>
          <w:p w14:paraId="1C8193B4" w14:textId="77777777" w:rsidR="00435917" w:rsidRDefault="00435917" w:rsidP="00435917"/>
        </w:tc>
      </w:tr>
      <w:tr w:rsidR="00435917" w14:paraId="7F9CA187" w14:textId="77777777" w:rsidTr="00ED04D3">
        <w:tc>
          <w:tcPr>
            <w:tcW w:w="4111" w:type="dxa"/>
          </w:tcPr>
          <w:p w14:paraId="301994EA" w14:textId="08DE0FCE" w:rsidR="00435917" w:rsidRPr="002B5402" w:rsidRDefault="00435917" w:rsidP="00435917">
            <w:pPr>
              <w:pStyle w:val="TableNumberedbullet"/>
            </w:pPr>
            <w:r w:rsidRPr="002B5402">
              <w:t xml:space="preserve">We continuously improve our commissioning arrangements, </w:t>
            </w:r>
            <w:r w:rsidRPr="0099664F">
              <w:t>reviewing learning to inform all our commissioning activities</w:t>
            </w:r>
            <w:r w:rsidRPr="0099664F">
              <w:rPr>
                <w:color w:val="FF0000"/>
              </w:rPr>
              <w:t>.</w:t>
            </w:r>
          </w:p>
        </w:tc>
        <w:tc>
          <w:tcPr>
            <w:tcW w:w="1701" w:type="dxa"/>
          </w:tcPr>
          <w:p w14:paraId="6072AC99" w14:textId="77777777" w:rsidR="00435917" w:rsidRDefault="00435917" w:rsidP="00435917"/>
        </w:tc>
        <w:tc>
          <w:tcPr>
            <w:tcW w:w="8466" w:type="dxa"/>
          </w:tcPr>
          <w:p w14:paraId="2A545063" w14:textId="77777777" w:rsidR="00435917" w:rsidRDefault="00435917" w:rsidP="00435917"/>
        </w:tc>
      </w:tr>
      <w:tr w:rsidR="00435917" w:rsidRPr="00435917" w14:paraId="09C59147" w14:textId="77777777" w:rsidTr="00ED04D3">
        <w:tc>
          <w:tcPr>
            <w:tcW w:w="14278" w:type="dxa"/>
            <w:gridSpan w:val="3"/>
          </w:tcPr>
          <w:p w14:paraId="569413B9" w14:textId="0E501F15" w:rsidR="00435917" w:rsidRPr="00435917" w:rsidRDefault="00435917" w:rsidP="00435917">
            <w:pPr>
              <w:rPr>
                <w:b/>
                <w:bCs/>
              </w:rPr>
            </w:pPr>
            <w:r w:rsidRPr="00435917">
              <w:rPr>
                <w:b/>
                <w:bCs/>
              </w:rPr>
              <w:t>Organisational Context</w:t>
            </w:r>
          </w:p>
        </w:tc>
      </w:tr>
      <w:tr w:rsidR="00435917" w14:paraId="51F8D593" w14:textId="77777777" w:rsidTr="00ED04D3">
        <w:tc>
          <w:tcPr>
            <w:tcW w:w="4111" w:type="dxa"/>
          </w:tcPr>
          <w:p w14:paraId="7CEF72C0" w14:textId="3E1A479C" w:rsidR="00435917" w:rsidRPr="002B5402" w:rsidRDefault="00435917" w:rsidP="00F35111">
            <w:pPr>
              <w:pStyle w:val="TableNumberedbullet"/>
            </w:pPr>
            <w:r w:rsidRPr="00874DDE">
              <w:t>Our Commissioning Arrangements sits within an enabling environment where there is strong senior leadership buy in, resource allocation and expectations with regards</w:t>
            </w:r>
            <w:r>
              <w:t xml:space="preserve"> addressing inequalities</w:t>
            </w:r>
            <w:r w:rsidRPr="00874DDE">
              <w:t>.</w:t>
            </w:r>
          </w:p>
        </w:tc>
        <w:tc>
          <w:tcPr>
            <w:tcW w:w="1701" w:type="dxa"/>
          </w:tcPr>
          <w:p w14:paraId="09123128" w14:textId="77777777" w:rsidR="00435917" w:rsidRDefault="00435917" w:rsidP="00435917"/>
        </w:tc>
        <w:tc>
          <w:tcPr>
            <w:tcW w:w="8466" w:type="dxa"/>
          </w:tcPr>
          <w:p w14:paraId="19F47352" w14:textId="77777777" w:rsidR="00435917" w:rsidRDefault="00435917" w:rsidP="00435917"/>
        </w:tc>
      </w:tr>
      <w:tr w:rsidR="00435917" w14:paraId="5285C559" w14:textId="77777777" w:rsidTr="00ED04D3">
        <w:tc>
          <w:tcPr>
            <w:tcW w:w="4111" w:type="dxa"/>
          </w:tcPr>
          <w:p w14:paraId="7317825D" w14:textId="4B2475C8" w:rsidR="00435917" w:rsidRPr="002B5402" w:rsidRDefault="00435917" w:rsidP="00435917">
            <w:pPr>
              <w:pStyle w:val="TableNumberedbullet"/>
            </w:pPr>
            <w:r w:rsidRPr="00874DDE">
              <w:rPr>
                <w:rFonts w:cs="Arial"/>
              </w:rPr>
              <w:lastRenderedPageBreak/>
              <w:t>All of our Commissioning Team is culturally aware and competent.</w:t>
            </w:r>
          </w:p>
        </w:tc>
        <w:tc>
          <w:tcPr>
            <w:tcW w:w="1701" w:type="dxa"/>
          </w:tcPr>
          <w:p w14:paraId="67F130F4" w14:textId="77777777" w:rsidR="00435917" w:rsidRDefault="00435917" w:rsidP="00435917"/>
        </w:tc>
        <w:tc>
          <w:tcPr>
            <w:tcW w:w="8466" w:type="dxa"/>
          </w:tcPr>
          <w:p w14:paraId="2AEFF48E" w14:textId="77777777" w:rsidR="00435917" w:rsidRDefault="00435917" w:rsidP="00435917"/>
        </w:tc>
      </w:tr>
      <w:tr w:rsidR="00435917" w14:paraId="190E4C39" w14:textId="77777777" w:rsidTr="00ED04D3">
        <w:tc>
          <w:tcPr>
            <w:tcW w:w="4111" w:type="dxa"/>
          </w:tcPr>
          <w:p w14:paraId="29063C74" w14:textId="50C758D1" w:rsidR="00435917" w:rsidRPr="002B5402" w:rsidRDefault="00435917" w:rsidP="00435917">
            <w:pPr>
              <w:pStyle w:val="TableNumberedbullet"/>
            </w:pPr>
            <w:r w:rsidRPr="00874DDE">
              <w:rPr>
                <w:rFonts w:cs="Arial"/>
              </w:rPr>
              <w:t>As a Commissioning team we are proactively embedded in our community and work closely with our front-line services and practitioners.</w:t>
            </w:r>
          </w:p>
        </w:tc>
        <w:tc>
          <w:tcPr>
            <w:tcW w:w="1701" w:type="dxa"/>
          </w:tcPr>
          <w:p w14:paraId="6F49F758" w14:textId="77777777" w:rsidR="00435917" w:rsidRDefault="00435917" w:rsidP="00435917"/>
        </w:tc>
        <w:tc>
          <w:tcPr>
            <w:tcW w:w="8466" w:type="dxa"/>
          </w:tcPr>
          <w:p w14:paraId="03A2D692" w14:textId="77777777" w:rsidR="00435917" w:rsidRDefault="00435917" w:rsidP="00435917"/>
        </w:tc>
      </w:tr>
      <w:tr w:rsidR="00435917" w14:paraId="1DF21D78" w14:textId="77777777" w:rsidTr="00ED04D3">
        <w:tc>
          <w:tcPr>
            <w:tcW w:w="4111" w:type="dxa"/>
          </w:tcPr>
          <w:p w14:paraId="548EEE7D" w14:textId="0AA717A1" w:rsidR="00435917" w:rsidRPr="002B5402" w:rsidRDefault="00435917" w:rsidP="00435917">
            <w:pPr>
              <w:pStyle w:val="TableNumberedbullet"/>
            </w:pPr>
            <w:r w:rsidRPr="00874DDE">
              <w:rPr>
                <w:rFonts w:cs="Arial"/>
              </w:rPr>
              <w:t>Our commissioning teams reflect the diverse communities that we serve locally.</w:t>
            </w:r>
          </w:p>
        </w:tc>
        <w:tc>
          <w:tcPr>
            <w:tcW w:w="1701" w:type="dxa"/>
          </w:tcPr>
          <w:p w14:paraId="0A600BB4" w14:textId="77777777" w:rsidR="00435917" w:rsidRDefault="00435917" w:rsidP="00435917"/>
        </w:tc>
        <w:tc>
          <w:tcPr>
            <w:tcW w:w="8466" w:type="dxa"/>
          </w:tcPr>
          <w:p w14:paraId="21ADA726" w14:textId="77777777" w:rsidR="00435917" w:rsidRDefault="00435917" w:rsidP="00435917"/>
        </w:tc>
      </w:tr>
    </w:tbl>
    <w:p w14:paraId="041C54D4" w14:textId="23FB226E" w:rsidR="00437AD7" w:rsidRDefault="00437AD7" w:rsidP="00437AD7"/>
    <w:p w14:paraId="467CC02A" w14:textId="007DE129" w:rsidR="00F35111" w:rsidRDefault="00F35111" w:rsidP="00437AD7">
      <w:r>
        <w:t>From the above analysis, summarise the major strengths and area for development:</w:t>
      </w:r>
    </w:p>
    <w:p w14:paraId="7833A40E" w14:textId="702995D6" w:rsidR="00F35111" w:rsidRDefault="00F35111" w:rsidP="00437A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39"/>
        <w:gridCol w:w="7139"/>
      </w:tblGrid>
      <w:tr w:rsidR="00F35111" w14:paraId="23709F3C" w14:textId="77777777" w:rsidTr="00F351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39" w:type="dxa"/>
          </w:tcPr>
          <w:p w14:paraId="348763B7" w14:textId="77777777" w:rsidR="00F35111" w:rsidRDefault="00F35111" w:rsidP="00437AD7">
            <w:r>
              <w:t>Strengths</w:t>
            </w:r>
          </w:p>
          <w:p w14:paraId="00E736F5" w14:textId="71DFADB9" w:rsidR="00F35111" w:rsidRDefault="00F35111" w:rsidP="00437AD7"/>
          <w:p w14:paraId="2D187770" w14:textId="3324AD12" w:rsidR="00F35111" w:rsidRDefault="00F35111" w:rsidP="00437AD7"/>
          <w:p w14:paraId="211050A0" w14:textId="33285F0A" w:rsidR="00F35111" w:rsidRDefault="00F35111" w:rsidP="00437AD7"/>
          <w:p w14:paraId="2ED2C279" w14:textId="667B6C81" w:rsidR="00F35111" w:rsidRDefault="00F35111" w:rsidP="00437AD7"/>
          <w:p w14:paraId="27FE74D2" w14:textId="22863605" w:rsidR="00F35111" w:rsidRDefault="00F35111" w:rsidP="00437AD7"/>
          <w:p w14:paraId="11D3142E" w14:textId="77777777" w:rsidR="00F35111" w:rsidRDefault="00F35111" w:rsidP="00437AD7"/>
          <w:p w14:paraId="1CBB2F53" w14:textId="77777777" w:rsidR="00F35111" w:rsidRDefault="00F35111" w:rsidP="00437AD7"/>
          <w:p w14:paraId="188BFD8D" w14:textId="77777777" w:rsidR="00F35111" w:rsidRDefault="00F35111" w:rsidP="00437AD7"/>
          <w:p w14:paraId="6E273CB5" w14:textId="4909329B" w:rsidR="00F35111" w:rsidRDefault="00F35111" w:rsidP="00437AD7"/>
        </w:tc>
        <w:tc>
          <w:tcPr>
            <w:tcW w:w="7139" w:type="dxa"/>
          </w:tcPr>
          <w:p w14:paraId="0778DA28" w14:textId="14AC2ADC" w:rsidR="00F35111" w:rsidRDefault="00F35111" w:rsidP="00437AD7"/>
          <w:p w14:paraId="2BF4F63E" w14:textId="211B5F4D" w:rsidR="00F35111" w:rsidRDefault="00F35111" w:rsidP="00437AD7"/>
          <w:p w14:paraId="3223E0E5" w14:textId="25778C75" w:rsidR="00F35111" w:rsidRDefault="00F35111" w:rsidP="00437AD7"/>
          <w:p w14:paraId="7654211E" w14:textId="77777777" w:rsidR="00F35111" w:rsidRDefault="00F35111" w:rsidP="00437AD7"/>
          <w:p w14:paraId="1DF60F0F" w14:textId="77777777" w:rsidR="00F35111" w:rsidRDefault="00F35111" w:rsidP="00437AD7"/>
          <w:p w14:paraId="7366BA6A" w14:textId="189A39D6" w:rsidR="00F35111" w:rsidRDefault="00F35111" w:rsidP="00437AD7"/>
          <w:p w14:paraId="6FA98DB2" w14:textId="56ADE664" w:rsidR="00F35111" w:rsidRDefault="00F35111" w:rsidP="00437AD7"/>
          <w:p w14:paraId="686C6690" w14:textId="21A79328" w:rsidR="00F35111" w:rsidRDefault="00F35111" w:rsidP="00437AD7"/>
          <w:p w14:paraId="34C52E23" w14:textId="77777777" w:rsidR="00F35111" w:rsidRDefault="00F35111" w:rsidP="00437AD7"/>
          <w:p w14:paraId="7250DE64" w14:textId="4255DF5D" w:rsidR="00F35111" w:rsidRDefault="00F35111" w:rsidP="00437AD7"/>
        </w:tc>
      </w:tr>
      <w:tr w:rsidR="00F35111" w14:paraId="399B493A" w14:textId="77777777" w:rsidTr="00F35111">
        <w:tc>
          <w:tcPr>
            <w:tcW w:w="7139" w:type="dxa"/>
          </w:tcPr>
          <w:p w14:paraId="0638B136" w14:textId="77777777" w:rsidR="00F35111" w:rsidRDefault="00F35111" w:rsidP="00437AD7">
            <w:r>
              <w:lastRenderedPageBreak/>
              <w:t>Areas for Development</w:t>
            </w:r>
          </w:p>
          <w:p w14:paraId="54465E83" w14:textId="67D45B9A" w:rsidR="00F35111" w:rsidRDefault="00F35111" w:rsidP="00437AD7"/>
          <w:p w14:paraId="1BDD6C8E" w14:textId="77777777" w:rsidR="00F35111" w:rsidRDefault="00F35111" w:rsidP="00437AD7"/>
          <w:p w14:paraId="33496A77" w14:textId="77777777" w:rsidR="00F35111" w:rsidRDefault="00F35111" w:rsidP="00437AD7"/>
          <w:p w14:paraId="001810AF" w14:textId="3644A6B9" w:rsidR="00F35111" w:rsidRDefault="00F35111" w:rsidP="00437AD7"/>
          <w:p w14:paraId="02BCD3F0" w14:textId="77777777" w:rsidR="00F35111" w:rsidRDefault="00F35111" w:rsidP="00437AD7"/>
          <w:p w14:paraId="5F0988C9" w14:textId="0BD15D44" w:rsidR="00F35111" w:rsidRDefault="00F35111" w:rsidP="00437AD7"/>
          <w:p w14:paraId="79F3AFCC" w14:textId="77777777" w:rsidR="00F35111" w:rsidRDefault="00F35111" w:rsidP="00437AD7"/>
          <w:p w14:paraId="329992D8" w14:textId="47F31A57" w:rsidR="00F35111" w:rsidRDefault="00F35111" w:rsidP="00437AD7"/>
        </w:tc>
        <w:tc>
          <w:tcPr>
            <w:tcW w:w="7139" w:type="dxa"/>
          </w:tcPr>
          <w:p w14:paraId="7526D324" w14:textId="77777777" w:rsidR="00F35111" w:rsidRDefault="00F35111" w:rsidP="00437AD7"/>
          <w:p w14:paraId="3B2FB8B3" w14:textId="14877A15" w:rsidR="00F35111" w:rsidRDefault="00F35111" w:rsidP="00437AD7"/>
          <w:p w14:paraId="2C63269C" w14:textId="0B87CEEF" w:rsidR="00F35111" w:rsidRDefault="00F35111" w:rsidP="00437AD7"/>
          <w:p w14:paraId="741A4E9C" w14:textId="3046A1D2" w:rsidR="00F35111" w:rsidRDefault="00F35111" w:rsidP="00437AD7"/>
          <w:p w14:paraId="20BAC58A" w14:textId="77777777" w:rsidR="00F35111" w:rsidRDefault="00F35111" w:rsidP="00437AD7"/>
          <w:p w14:paraId="3E2882A2" w14:textId="77777777" w:rsidR="00F35111" w:rsidRDefault="00F35111" w:rsidP="00437AD7"/>
          <w:p w14:paraId="0CB44E63" w14:textId="7C2FE548" w:rsidR="00F35111" w:rsidRDefault="00F35111" w:rsidP="00437AD7"/>
          <w:p w14:paraId="547BF9A2" w14:textId="77777777" w:rsidR="00F35111" w:rsidRDefault="00F35111" w:rsidP="00437AD7"/>
          <w:p w14:paraId="48A33E56" w14:textId="6D7EF952" w:rsidR="00F35111" w:rsidRDefault="00F35111" w:rsidP="00437AD7"/>
        </w:tc>
      </w:tr>
    </w:tbl>
    <w:p w14:paraId="06661594" w14:textId="77777777" w:rsidR="00F35111" w:rsidRPr="006132B6" w:rsidRDefault="00F35111" w:rsidP="00437AD7"/>
    <w:sectPr w:rsidR="00F35111" w:rsidRPr="006132B6" w:rsidSect="00437AD7">
      <w:headerReference w:type="default" r:id="rId8"/>
      <w:footerReference w:type="default" r:id="rId9"/>
      <w:pgSz w:w="16840" w:h="11907" w:orient="landscape" w:code="9"/>
      <w:pgMar w:top="1418" w:right="1418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CB947" w14:textId="77777777" w:rsidR="000F7700" w:rsidRDefault="000F7700" w:rsidP="009D6951">
      <w:r>
        <w:separator/>
      </w:r>
    </w:p>
  </w:endnote>
  <w:endnote w:type="continuationSeparator" w:id="0">
    <w:p w14:paraId="2D068965" w14:textId="77777777" w:rsidR="000F7700" w:rsidRDefault="000F7700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2300D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5C5AFECF" wp14:editId="3FAABF65">
              <wp:simplePos x="0" y="0"/>
              <wp:positionH relativeFrom="column">
                <wp:posOffset>-548640</wp:posOffset>
              </wp:positionH>
              <wp:positionV relativeFrom="paragraph">
                <wp:posOffset>92710</wp:posOffset>
              </wp:positionV>
              <wp:extent cx="10239375" cy="38100"/>
              <wp:effectExtent l="0" t="0" r="2857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239375" cy="381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A2C6C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7.3pt" to="763.0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37AA1753" w14:textId="3C5FF119" w:rsidR="00F37176" w:rsidRPr="00437AD7" w:rsidRDefault="00000000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hyperlink r:id="rId1" w:history="1">
      <w:r w:rsidR="00437AD7" w:rsidRPr="00437AD7">
        <w:rPr>
          <w:rStyle w:val="Hyperlink"/>
          <w:sz w:val="20"/>
          <w:szCs w:val="20"/>
        </w:rPr>
        <w:t>ipc@brookes.ac.uk</w:t>
      </w:r>
    </w:hyperlink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437AD7" w:rsidRPr="00437AD7">
      <w:rPr>
        <w:sz w:val="20"/>
        <w:szCs w:val="20"/>
      </w:rPr>
      <w:tab/>
    </w:r>
    <w:r w:rsidR="00811373" w:rsidRPr="00437AD7">
      <w:rPr>
        <w:sz w:val="20"/>
        <w:szCs w:val="20"/>
      </w:rPr>
      <w:tab/>
    </w:r>
    <w:r w:rsidR="00811373" w:rsidRPr="00437AD7">
      <w:rPr>
        <w:sz w:val="20"/>
        <w:szCs w:val="20"/>
      </w:rPr>
      <w:tab/>
    </w:r>
    <w:r w:rsidR="00811373" w:rsidRPr="00437AD7">
      <w:rPr>
        <w:sz w:val="20"/>
        <w:szCs w:val="20"/>
      </w:rPr>
      <w:fldChar w:fldCharType="begin"/>
    </w:r>
    <w:r w:rsidR="00811373" w:rsidRPr="00437AD7">
      <w:rPr>
        <w:sz w:val="20"/>
        <w:szCs w:val="20"/>
      </w:rPr>
      <w:instrText xml:space="preserve"> PAGE   \* MERGEFORMAT </w:instrText>
    </w:r>
    <w:r w:rsidR="00811373" w:rsidRPr="00437AD7">
      <w:rPr>
        <w:sz w:val="20"/>
        <w:szCs w:val="20"/>
      </w:rPr>
      <w:fldChar w:fldCharType="separate"/>
    </w:r>
    <w:r w:rsidR="00811373" w:rsidRPr="00437AD7">
      <w:rPr>
        <w:sz w:val="20"/>
        <w:szCs w:val="20"/>
      </w:rPr>
      <w:t>1</w:t>
    </w:r>
    <w:r w:rsidR="00811373" w:rsidRPr="00437AD7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2AB3" w14:textId="77777777" w:rsidR="000F7700" w:rsidRPr="00A85E38" w:rsidRDefault="000F7700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0FB6AB40" w14:textId="77777777" w:rsidR="000F7700" w:rsidRDefault="000F7700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A04F" w14:textId="44C021E3" w:rsidR="006132B6" w:rsidRPr="006132B6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4B20AB7E" wp14:editId="3CE57E93">
              <wp:simplePos x="0" y="0"/>
              <wp:positionH relativeFrom="column">
                <wp:posOffset>-548640</wp:posOffset>
              </wp:positionH>
              <wp:positionV relativeFrom="paragraph">
                <wp:posOffset>192405</wp:posOffset>
              </wp:positionV>
              <wp:extent cx="10334625" cy="19050"/>
              <wp:effectExtent l="0" t="0" r="2857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334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97792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15.15pt" to="770.5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" strokecolor="#535c65">
              <o:lock v:ext="edit" shapetype="f"/>
            </v:line>
          </w:pict>
        </mc:Fallback>
      </mc:AlternateContent>
    </w:r>
    <w:r w:rsidR="00437AD7">
      <w:rPr>
        <w:b w:val="0"/>
        <w:bCs/>
        <w:sz w:val="20"/>
        <w:szCs w:val="20"/>
      </w:rPr>
      <w:t>Certificate in Commissioning and Purchasing for Public Care</w:t>
    </w:r>
    <w:r w:rsidRPr="00C81E02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</w:r>
    <w:r w:rsidR="00437AD7">
      <w:rPr>
        <w:b w:val="0"/>
        <w:bCs/>
        <w:sz w:val="20"/>
        <w:szCs w:val="20"/>
      </w:rPr>
      <w:tab/>
      <w:t>August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3E48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52C5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2295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50E5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8A85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327E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CCDE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A4E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5510B"/>
    <w:multiLevelType w:val="hybridMultilevel"/>
    <w:tmpl w:val="12ACB7A2"/>
    <w:lvl w:ilvl="0" w:tplc="561A988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129058">
    <w:abstractNumId w:val="14"/>
  </w:num>
  <w:num w:numId="2" w16cid:durableId="668004">
    <w:abstractNumId w:val="13"/>
  </w:num>
  <w:num w:numId="3" w16cid:durableId="855729373">
    <w:abstractNumId w:val="11"/>
  </w:num>
  <w:num w:numId="4" w16cid:durableId="756246736">
    <w:abstractNumId w:val="19"/>
  </w:num>
  <w:num w:numId="5" w16cid:durableId="1388646160">
    <w:abstractNumId w:val="15"/>
  </w:num>
  <w:num w:numId="6" w16cid:durableId="1281228853">
    <w:abstractNumId w:val="17"/>
  </w:num>
  <w:num w:numId="7" w16cid:durableId="510608878">
    <w:abstractNumId w:val="12"/>
  </w:num>
  <w:num w:numId="8" w16cid:durableId="390814522">
    <w:abstractNumId w:val="9"/>
  </w:num>
  <w:num w:numId="9" w16cid:durableId="320623799">
    <w:abstractNumId w:val="0"/>
  </w:num>
  <w:num w:numId="10" w16cid:durableId="867762548">
    <w:abstractNumId w:val="1"/>
  </w:num>
  <w:num w:numId="11" w16cid:durableId="242253359">
    <w:abstractNumId w:val="2"/>
  </w:num>
  <w:num w:numId="12" w16cid:durableId="1948732875">
    <w:abstractNumId w:val="3"/>
  </w:num>
  <w:num w:numId="13" w16cid:durableId="1888298804">
    <w:abstractNumId w:val="8"/>
  </w:num>
  <w:num w:numId="14" w16cid:durableId="777483884">
    <w:abstractNumId w:val="4"/>
  </w:num>
  <w:num w:numId="15" w16cid:durableId="1307585580">
    <w:abstractNumId w:val="5"/>
  </w:num>
  <w:num w:numId="16" w16cid:durableId="620959629">
    <w:abstractNumId w:val="6"/>
  </w:num>
  <w:num w:numId="17" w16cid:durableId="1674599967">
    <w:abstractNumId w:val="7"/>
  </w:num>
  <w:num w:numId="18" w16cid:durableId="1157267033">
    <w:abstractNumId w:val="10"/>
  </w:num>
  <w:num w:numId="19" w16cid:durableId="4019887">
    <w:abstractNumId w:val="16"/>
  </w:num>
  <w:num w:numId="20" w16cid:durableId="65183396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D7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30A7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0F7700"/>
    <w:rsid w:val="00100E6F"/>
    <w:rsid w:val="00101FFB"/>
    <w:rsid w:val="001049C4"/>
    <w:rsid w:val="00104F5A"/>
    <w:rsid w:val="00105499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011F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549B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5917"/>
    <w:rsid w:val="0043690E"/>
    <w:rsid w:val="00437AD7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910"/>
    <w:rsid w:val="005D0BF1"/>
    <w:rsid w:val="005D2E21"/>
    <w:rsid w:val="005D35C3"/>
    <w:rsid w:val="005D4728"/>
    <w:rsid w:val="005F1682"/>
    <w:rsid w:val="005F211E"/>
    <w:rsid w:val="005F503D"/>
    <w:rsid w:val="00600041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731E"/>
    <w:rsid w:val="00834823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2A16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068CC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2CA3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4D3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6E7"/>
    <w:rsid w:val="00F34CC1"/>
    <w:rsid w:val="00F3511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7859D3"/>
  <w15:chartTrackingRefBased/>
  <w15:docId w15:val="{391BB992-9271-40F1-9579-CD83BDE3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pPr>
      <w:spacing w:after="120"/>
    </w:pPr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 w:after="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 w:after="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37AD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35917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paragraph" w:styleId="NormalWeb">
    <w:name w:val="Normal (Web)"/>
    <w:basedOn w:val="Normal"/>
    <w:unhideWhenUsed/>
    <w:rsid w:val="0043591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pc@brookes.ac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9</Pages>
  <Words>864</Words>
  <Characters>4571</Characters>
  <Application>Microsoft Office Word</Application>
  <DocSecurity>8</DocSecurity>
  <Lines>97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2023-10-30T08:43:00Z</dcterms:created>
  <dcterms:modified xsi:type="dcterms:W3CDTF">2023-10-30T08:43:00Z</dcterms:modified>
</cp:coreProperties>
</file>