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Look w:val="04A0"/>
      </w:tblPr>
      <w:tblGrid>
        <w:gridCol w:w="2091"/>
        <w:gridCol w:w="2086"/>
        <w:gridCol w:w="2861"/>
        <w:gridCol w:w="2851"/>
      </w:tblGrid>
      <w:tr w:rsidR="0096667D" w:rsidRPr="00B10A59" w:rsidTr="00561B2C">
        <w:trPr>
          <w:trHeight w:val="2400"/>
        </w:trPr>
        <w:tc>
          <w:tcPr>
            <w:tcW w:w="4201" w:type="dxa"/>
            <w:gridSpan w:val="2"/>
            <w:vAlign w:val="center"/>
          </w:tcPr>
          <w:p w:rsidR="0096667D" w:rsidRPr="009D0828" w:rsidRDefault="0096667D" w:rsidP="00F72212">
            <w:pPr>
              <w:pStyle w:val="Heading1"/>
              <w:spacing w:before="0"/>
              <w:outlineLvl w:val="0"/>
            </w:pPr>
            <w:r>
              <w:t>Post</w:t>
            </w:r>
            <w:r w:rsidR="00F72212">
              <w:t>-</w:t>
            </w:r>
            <w:r>
              <w:t>Offer Conversion</w:t>
            </w:r>
          </w:p>
        </w:tc>
        <w:tc>
          <w:tcPr>
            <w:tcW w:w="2822" w:type="dxa"/>
            <w:vAlign w:val="center"/>
          </w:tcPr>
          <w:p w:rsidR="0096667D" w:rsidRPr="00BC49A5" w:rsidRDefault="0096667D" w:rsidP="00250B71">
            <w:pPr>
              <w:jc w:val="center"/>
            </w:pPr>
            <w:r>
              <w:object w:dxaOrig="5175"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1pt;height:128.35pt" o:ole="">
                  <v:imagedata r:id="rId7" o:title=""/>
                </v:shape>
                <o:OLEObject Type="Embed" ProgID="PBrush" ShapeID="_x0000_i1025" DrawAspect="Content" ObjectID="_1500204761" r:id="rId8"/>
              </w:object>
            </w:r>
          </w:p>
        </w:tc>
        <w:tc>
          <w:tcPr>
            <w:tcW w:w="2866" w:type="dxa"/>
            <w:vAlign w:val="center"/>
          </w:tcPr>
          <w:p w:rsidR="0096667D" w:rsidRPr="009F04F1" w:rsidRDefault="0096667D" w:rsidP="00250B71">
            <w:pPr>
              <w:jc w:val="center"/>
              <w:rPr>
                <w:b/>
                <w:sz w:val="28"/>
              </w:rPr>
            </w:pPr>
            <w:r>
              <w:rPr>
                <w:b/>
                <w:sz w:val="28"/>
              </w:rPr>
              <w:t>ACADEMIC</w:t>
            </w:r>
          </w:p>
          <w:p w:rsidR="0096667D" w:rsidRDefault="0096667D" w:rsidP="00250B71">
            <w:pPr>
              <w:jc w:val="center"/>
            </w:pPr>
            <w:r w:rsidRPr="009F04F1">
              <w:rPr>
                <w:i/>
              </w:rPr>
              <w:t>(</w:t>
            </w:r>
            <w:r>
              <w:rPr>
                <w:i/>
              </w:rPr>
              <w:t>Faculty Academic Administration</w:t>
            </w:r>
            <w:r w:rsidRPr="009F04F1">
              <w:rPr>
                <w:i/>
              </w:rPr>
              <w:t>)</w:t>
            </w:r>
          </w:p>
        </w:tc>
      </w:tr>
      <w:tr w:rsidR="0096667D" w:rsidRPr="001E3EA7" w:rsidTr="004A501E">
        <w:tc>
          <w:tcPr>
            <w:tcW w:w="9889" w:type="dxa"/>
            <w:gridSpan w:val="4"/>
            <w:shd w:val="clear" w:color="auto" w:fill="EAF1DD" w:themeFill="accent3" w:themeFillTint="33"/>
          </w:tcPr>
          <w:p w:rsidR="0096667D" w:rsidRPr="001E3EA7" w:rsidRDefault="0096667D" w:rsidP="001E3EA7">
            <w:pPr>
              <w:pStyle w:val="Heading2"/>
              <w:outlineLvl w:val="1"/>
            </w:pPr>
            <w:r w:rsidRPr="001E3EA7">
              <w:t xml:space="preserve">The RATIONALE </w:t>
            </w:r>
          </w:p>
          <w:p w:rsidR="0096667D" w:rsidRPr="001E3EA7" w:rsidRDefault="0096667D" w:rsidP="001E3EA7">
            <w:pPr>
              <w:pStyle w:val="Heading2"/>
              <w:outlineLvl w:val="1"/>
            </w:pPr>
            <w:r w:rsidRPr="001E3EA7">
              <w:t>What prompted you to participate in the PPR workshop?</w:t>
            </w:r>
          </w:p>
        </w:tc>
      </w:tr>
      <w:tr w:rsidR="0096667D" w:rsidRPr="00B10A59" w:rsidTr="001B2C51">
        <w:tc>
          <w:tcPr>
            <w:tcW w:w="2093" w:type="dxa"/>
            <w:vAlign w:val="center"/>
          </w:tcPr>
          <w:p w:rsidR="0096667D" w:rsidRPr="008F20EF" w:rsidRDefault="0096667D" w:rsidP="007C2CA0">
            <w:pPr>
              <w:jc w:val="center"/>
              <w:rPr>
                <w:b/>
              </w:rPr>
            </w:pPr>
            <w:r>
              <w:rPr>
                <w:b/>
              </w:rPr>
              <w:t>Purpose</w:t>
            </w:r>
          </w:p>
        </w:tc>
        <w:tc>
          <w:tcPr>
            <w:tcW w:w="7796" w:type="dxa"/>
            <w:gridSpan w:val="3"/>
            <w:vAlign w:val="center"/>
          </w:tcPr>
          <w:p w:rsidR="0096667D" w:rsidRPr="00B10A59" w:rsidRDefault="008D0043" w:rsidP="00F72212">
            <w:r>
              <w:t xml:space="preserve">The process review we undertook was for </w:t>
            </w:r>
            <w:r w:rsidR="00F72212">
              <w:t xml:space="preserve">post-offer </w:t>
            </w:r>
            <w:r>
              <w:t>con</w:t>
            </w:r>
            <w:r w:rsidR="004467AF">
              <w:t>version activity</w:t>
            </w:r>
            <w:r w:rsidR="00F72212">
              <w:t>, that is the number of students given an offer who took up the place</w:t>
            </w:r>
            <w:r w:rsidR="004467AF">
              <w:t>.</w:t>
            </w:r>
            <w:r w:rsidR="00F72212">
              <w:t xml:space="preserve"> The process we were using in our faculty</w:t>
            </w:r>
            <w:r w:rsidR="004467AF">
              <w:t xml:space="preserve"> was identified by a couple of the senior program administrators</w:t>
            </w:r>
            <w:r w:rsidR="00F72212">
              <w:t xml:space="preserve"> as being</w:t>
            </w:r>
            <w:r w:rsidR="004467AF">
              <w:t xml:space="preserve"> quite varied</w:t>
            </w:r>
            <w:r w:rsidR="00F72212">
              <w:t xml:space="preserve"> across the </w:t>
            </w:r>
            <w:r w:rsidR="004467AF">
              <w:t>different departments</w:t>
            </w:r>
            <w:r w:rsidR="00F72212">
              <w:t>.</w:t>
            </w:r>
            <w:r w:rsidR="004467AF">
              <w:t xml:space="preserve"> </w:t>
            </w:r>
            <w:r w:rsidR="00F72212">
              <w:t xml:space="preserve">We were aware that students </w:t>
            </w:r>
            <w:r w:rsidR="004467AF">
              <w:t>were getting overloaded with all kinds of information and there was</w:t>
            </w:r>
            <w:r w:rsidR="00F72212">
              <w:t xml:space="preserve"> little</w:t>
            </w:r>
            <w:r w:rsidR="004467AF">
              <w:t xml:space="preserve"> consistency</w:t>
            </w:r>
            <w:r w:rsidR="00F72212">
              <w:t>. We needed to look at what conversion activity was already taking place in the faculty and if we could making improvements to it. We felt it a participative process review</w:t>
            </w:r>
            <w:r w:rsidR="004467AF">
              <w:t xml:space="preserve"> was a really valuable thing</w:t>
            </w:r>
            <w:r w:rsidR="00F72212">
              <w:t xml:space="preserve"> as a way of involving </w:t>
            </w:r>
            <w:r w:rsidR="004467AF">
              <w:t xml:space="preserve">people </w:t>
            </w:r>
            <w:r w:rsidR="00F72212">
              <w:t xml:space="preserve">across the faculty and central support. </w:t>
            </w:r>
          </w:p>
        </w:tc>
      </w:tr>
      <w:tr w:rsidR="0096667D" w:rsidRPr="00B10A59" w:rsidTr="005327B5">
        <w:tc>
          <w:tcPr>
            <w:tcW w:w="2093" w:type="dxa"/>
            <w:vAlign w:val="center"/>
          </w:tcPr>
          <w:p w:rsidR="0096667D" w:rsidRPr="008F20EF" w:rsidRDefault="0096667D" w:rsidP="005327B5">
            <w:pPr>
              <w:jc w:val="center"/>
              <w:rPr>
                <w:b/>
              </w:rPr>
            </w:pPr>
            <w:r>
              <w:rPr>
                <w:b/>
              </w:rPr>
              <w:t>Stakes</w:t>
            </w:r>
          </w:p>
        </w:tc>
        <w:tc>
          <w:tcPr>
            <w:tcW w:w="7796" w:type="dxa"/>
            <w:gridSpan w:val="3"/>
            <w:vAlign w:val="center"/>
          </w:tcPr>
          <w:p w:rsidR="00F72212" w:rsidRDefault="00CC6C90" w:rsidP="00F72212">
            <w:r>
              <w:t xml:space="preserve">The </w:t>
            </w:r>
            <w:r w:rsidR="00F72212">
              <w:t>f</w:t>
            </w:r>
            <w:r>
              <w:t xml:space="preserve">aculty </w:t>
            </w:r>
            <w:r w:rsidR="00F72212">
              <w:t xml:space="preserve">had already </w:t>
            </w:r>
            <w:r>
              <w:t xml:space="preserve">created a working group to </w:t>
            </w:r>
            <w:r w:rsidR="00F72212">
              <w:t>audit</w:t>
            </w:r>
            <w:r>
              <w:t xml:space="preserve"> post</w:t>
            </w:r>
            <w:r w:rsidR="00F72212">
              <w:t>-</w:t>
            </w:r>
            <w:r>
              <w:t xml:space="preserve">offer conversion activity </w:t>
            </w:r>
            <w:r w:rsidR="00F72212">
              <w:t xml:space="preserve">and </w:t>
            </w:r>
            <w:r>
              <w:t xml:space="preserve">identify ‘quick wins’ for </w:t>
            </w:r>
            <w:r w:rsidR="00F72212">
              <w:t>our p</w:t>
            </w:r>
            <w:r>
              <w:t>ostgraduate courses</w:t>
            </w:r>
            <w:r w:rsidR="00F72212">
              <w:t>, looking at</w:t>
            </w:r>
            <w:r>
              <w:t xml:space="preserve"> current </w:t>
            </w:r>
            <w:r w:rsidR="00F72212">
              <w:t xml:space="preserve">good </w:t>
            </w:r>
            <w:r>
              <w:t xml:space="preserve">practice </w:t>
            </w:r>
            <w:r w:rsidR="00F72212">
              <w:t>f</w:t>
            </w:r>
            <w:r>
              <w:t>aculty</w:t>
            </w:r>
            <w:r w:rsidR="00F72212">
              <w:t>-</w:t>
            </w:r>
            <w:r>
              <w:t>wide as well as opportunities to improve conversion. Following the audit a post</w:t>
            </w:r>
            <w:r w:rsidR="00F72212">
              <w:t>-</w:t>
            </w:r>
            <w:r>
              <w:t xml:space="preserve">offer conversion activity map was created to identify the activities carried out. </w:t>
            </w:r>
          </w:p>
          <w:p w:rsidR="006B2F88" w:rsidRDefault="006B2F88" w:rsidP="006B2F88">
            <w:r>
              <w:t>It was identified that some Departments and Schools completed little conversion activity which may be affecting the applicant experience which could then result in the Faculty not meeting its targets. The faculty need to push our numbers, particularly in certain areas. We were keen to look at what more can we do to convert people who applied to study with us.</w:t>
            </w:r>
          </w:p>
          <w:p w:rsidR="00F10821" w:rsidRPr="00B10A59" w:rsidRDefault="002D24FC" w:rsidP="002D24FC">
            <w:r>
              <w:t>It</w:t>
            </w:r>
            <w:r w:rsidR="00CC6C90">
              <w:t xml:space="preserve"> was agreed that a more comprehensive activity map </w:t>
            </w:r>
            <w:r w:rsidR="00F72212">
              <w:t>wa</w:t>
            </w:r>
            <w:r w:rsidR="00CC6C90">
              <w:t>s required to include University</w:t>
            </w:r>
            <w:r w:rsidR="00F72212">
              <w:t>-</w:t>
            </w:r>
            <w:r w:rsidR="00CC6C90">
              <w:t>wide</w:t>
            </w:r>
            <w:r w:rsidR="00F72212">
              <w:t xml:space="preserve"> communications with applicants, </w:t>
            </w:r>
            <w:r w:rsidR="00CC6C90">
              <w:t xml:space="preserve">e.g. surveys. In addition, the </w:t>
            </w:r>
            <w:r w:rsidR="00F72212">
              <w:t xml:space="preserve">working </w:t>
            </w:r>
            <w:r w:rsidR="00CC6C90">
              <w:t>group suggested that a flow chart of applicant communications</w:t>
            </w:r>
            <w:r w:rsidR="00F72212">
              <w:t>,</w:t>
            </w:r>
            <w:r w:rsidR="00CC6C90">
              <w:t xml:space="preserve"> and what conversion activity </w:t>
            </w:r>
            <w:r w:rsidR="00F72212">
              <w:t>could take</w:t>
            </w:r>
            <w:r w:rsidR="00CC6C90">
              <w:t xml:space="preserve"> place during the applicant cycle</w:t>
            </w:r>
            <w:r w:rsidR="00F72212">
              <w:t>,</w:t>
            </w:r>
            <w:r w:rsidR="00CC6C90">
              <w:t xml:space="preserve"> would be useful to academic colleagues and the programme administration teams who were completing conversion activities.</w:t>
            </w:r>
          </w:p>
        </w:tc>
      </w:tr>
      <w:tr w:rsidR="0096667D" w:rsidRPr="00B10A59" w:rsidTr="005327B5">
        <w:tc>
          <w:tcPr>
            <w:tcW w:w="2093" w:type="dxa"/>
            <w:vAlign w:val="center"/>
          </w:tcPr>
          <w:p w:rsidR="0096667D" w:rsidRPr="008F20EF" w:rsidRDefault="0096667D" w:rsidP="005327B5">
            <w:pPr>
              <w:jc w:val="center"/>
              <w:rPr>
                <w:b/>
              </w:rPr>
            </w:pPr>
            <w:r w:rsidRPr="008F20EF">
              <w:rPr>
                <w:b/>
              </w:rPr>
              <w:t>Objectives</w:t>
            </w:r>
          </w:p>
        </w:tc>
        <w:tc>
          <w:tcPr>
            <w:tcW w:w="7796" w:type="dxa"/>
            <w:gridSpan w:val="3"/>
            <w:vAlign w:val="center"/>
          </w:tcPr>
          <w:p w:rsidR="00CC6C90" w:rsidRDefault="00CC6C90" w:rsidP="00F10821">
            <w:pPr>
              <w:pStyle w:val="ListParagraph"/>
              <w:numPr>
                <w:ilvl w:val="0"/>
                <w:numId w:val="23"/>
              </w:numPr>
              <w:ind w:left="357" w:hanging="357"/>
              <w:contextualSpacing w:val="0"/>
            </w:pPr>
            <w:r w:rsidRPr="001136E2">
              <w:t xml:space="preserve">To </w:t>
            </w:r>
            <w:r>
              <w:t xml:space="preserve">produce a timeline of all Faculty and University </w:t>
            </w:r>
            <w:r w:rsidR="00F10821">
              <w:t>wide conversion activities</w:t>
            </w:r>
            <w:r>
              <w:t xml:space="preserve"> and to identify new opportunities. </w:t>
            </w:r>
          </w:p>
          <w:p w:rsidR="0096667D" w:rsidRPr="00B10A59" w:rsidRDefault="00CC6C90" w:rsidP="00F10821">
            <w:pPr>
              <w:pStyle w:val="ListParagraph"/>
              <w:numPr>
                <w:ilvl w:val="0"/>
                <w:numId w:val="23"/>
              </w:numPr>
              <w:ind w:left="357" w:hanging="357"/>
              <w:contextualSpacing w:val="0"/>
            </w:pPr>
            <w:r>
              <w:t>To develop a series of flowcharts (for both home and international applicants) mapping post</w:t>
            </w:r>
            <w:r w:rsidR="00F10821">
              <w:t>-</w:t>
            </w:r>
            <w:r>
              <w:t>offer conversion communications with applicants.</w:t>
            </w:r>
          </w:p>
        </w:tc>
      </w:tr>
      <w:tr w:rsidR="0096667D" w:rsidRPr="00B10A59" w:rsidTr="004A501E">
        <w:tc>
          <w:tcPr>
            <w:tcW w:w="9889" w:type="dxa"/>
            <w:gridSpan w:val="4"/>
            <w:shd w:val="clear" w:color="auto" w:fill="EAF1DD" w:themeFill="accent3" w:themeFillTint="33"/>
          </w:tcPr>
          <w:p w:rsidR="0096667D" w:rsidRPr="00B10A59" w:rsidRDefault="0096667D" w:rsidP="001E3EA7">
            <w:pPr>
              <w:pStyle w:val="Heading2"/>
              <w:outlineLvl w:val="1"/>
            </w:pPr>
            <w:r w:rsidRPr="00B10A59">
              <w:t xml:space="preserve">The PROBLEM </w:t>
            </w:r>
          </w:p>
          <w:p w:rsidR="0096667D" w:rsidRPr="00B10A59" w:rsidRDefault="0096667D" w:rsidP="00C90E3D">
            <w:pPr>
              <w:pStyle w:val="Heading2"/>
              <w:outlineLvl w:val="1"/>
            </w:pPr>
            <w:r w:rsidRPr="00B10A59">
              <w:t>What was the issue, challenge, opportunity</w:t>
            </w:r>
            <w:r>
              <w:t xml:space="preserve"> the review focused on</w:t>
            </w:r>
            <w:r w:rsidRPr="00B10A59">
              <w:t>?</w:t>
            </w:r>
          </w:p>
        </w:tc>
      </w:tr>
      <w:tr w:rsidR="0096667D" w:rsidRPr="00B10A59" w:rsidTr="005327B5">
        <w:tc>
          <w:tcPr>
            <w:tcW w:w="2093" w:type="dxa"/>
            <w:vAlign w:val="center"/>
          </w:tcPr>
          <w:p w:rsidR="0096667D" w:rsidRPr="008F20EF" w:rsidRDefault="0096667D" w:rsidP="005327B5">
            <w:pPr>
              <w:jc w:val="center"/>
              <w:rPr>
                <w:b/>
                <w:sz w:val="28"/>
                <w:szCs w:val="28"/>
              </w:rPr>
            </w:pPr>
            <w:r w:rsidRPr="008F20EF">
              <w:rPr>
                <w:b/>
              </w:rPr>
              <w:t>Context</w:t>
            </w:r>
          </w:p>
        </w:tc>
        <w:tc>
          <w:tcPr>
            <w:tcW w:w="7796" w:type="dxa"/>
            <w:gridSpan w:val="3"/>
            <w:vAlign w:val="center"/>
          </w:tcPr>
          <w:p w:rsidR="0096667D" w:rsidRPr="008C61D3" w:rsidRDefault="00F10821" w:rsidP="00F10821">
            <w:r>
              <w:t>'</w:t>
            </w:r>
            <w:r w:rsidR="008D0043">
              <w:t>Conversion</w:t>
            </w:r>
            <w:r>
              <w:t>'</w:t>
            </w:r>
            <w:r w:rsidR="008D0043">
              <w:t xml:space="preserve"> is what we term when a student makes an enquiry with us, what we </w:t>
            </w:r>
            <w:r>
              <w:t>then do</w:t>
            </w:r>
            <w:r w:rsidR="008D0043">
              <w:t xml:space="preserve"> a</w:t>
            </w:r>
            <w:r>
              <w:t>s</w:t>
            </w:r>
            <w:r w:rsidR="008D0043">
              <w:t xml:space="preserve"> follow-up </w:t>
            </w:r>
            <w:r>
              <w:t xml:space="preserve">to </w:t>
            </w:r>
            <w:r w:rsidR="008D0043">
              <w:t>that enquiry to try and convert them into either applicant</w:t>
            </w:r>
            <w:r w:rsidR="00497269">
              <w:t xml:space="preserve"> </w:t>
            </w:r>
            <w:r>
              <w:t>or if they a</w:t>
            </w:r>
            <w:r w:rsidR="008D0043">
              <w:t>re an applicant</w:t>
            </w:r>
            <w:r w:rsidR="00497269">
              <w:t xml:space="preserve"> </w:t>
            </w:r>
            <w:r>
              <w:t>to</w:t>
            </w:r>
            <w:r w:rsidR="008D0043">
              <w:t xml:space="preserve"> convert them into actually accepting an offer with us.</w:t>
            </w:r>
            <w:r w:rsidR="00497269">
              <w:t xml:space="preserve"> </w:t>
            </w:r>
            <w:r>
              <w:t>For example, we might send them further</w:t>
            </w:r>
            <w:r w:rsidR="008D0043">
              <w:t xml:space="preserve"> information</w:t>
            </w:r>
            <w:r>
              <w:t xml:space="preserve"> as a means to</w:t>
            </w:r>
            <w:r w:rsidR="008D0043">
              <w:t xml:space="preserve"> persuade them to come to the university. </w:t>
            </w:r>
          </w:p>
        </w:tc>
      </w:tr>
      <w:tr w:rsidR="0096667D" w:rsidRPr="00B10A59" w:rsidTr="005327B5">
        <w:tc>
          <w:tcPr>
            <w:tcW w:w="2093" w:type="dxa"/>
            <w:vAlign w:val="center"/>
          </w:tcPr>
          <w:p w:rsidR="0096667D" w:rsidRPr="008F20EF" w:rsidRDefault="0096667D" w:rsidP="005327B5">
            <w:pPr>
              <w:jc w:val="center"/>
              <w:rPr>
                <w:b/>
              </w:rPr>
            </w:pPr>
            <w:r w:rsidRPr="008F20EF">
              <w:rPr>
                <w:b/>
              </w:rPr>
              <w:t>Need</w:t>
            </w:r>
          </w:p>
        </w:tc>
        <w:tc>
          <w:tcPr>
            <w:tcW w:w="7796" w:type="dxa"/>
            <w:gridSpan w:val="3"/>
            <w:vAlign w:val="center"/>
          </w:tcPr>
          <w:p w:rsidR="001E71DF" w:rsidRPr="00F00746" w:rsidRDefault="00DE49D4" w:rsidP="00DE49D4">
            <w:r>
              <w:t>Because we have a large faculty, a key need to</w:t>
            </w:r>
            <w:r w:rsidR="008D0043">
              <w:t xml:space="preserve"> map what activities we are doing</w:t>
            </w:r>
            <w:r>
              <w:t>,</w:t>
            </w:r>
            <w:r w:rsidR="008D0043">
              <w:t xml:space="preserve"> </w:t>
            </w:r>
            <w:r>
              <w:t>identify</w:t>
            </w:r>
            <w:r w:rsidR="008D0043">
              <w:t xml:space="preserve"> best practice</w:t>
            </w:r>
            <w:r>
              <w:t>, share ideas and give recommendations moving forward. F</w:t>
            </w:r>
            <w:r w:rsidR="008D0043">
              <w:t>or example</w:t>
            </w:r>
            <w:r>
              <w:t>,</w:t>
            </w:r>
            <w:r w:rsidR="008D0043">
              <w:t xml:space="preserve"> </w:t>
            </w:r>
            <w:r>
              <w:t xml:space="preserve">mostly we use email, but </w:t>
            </w:r>
            <w:r w:rsidR="008D0043">
              <w:t>one group use a</w:t>
            </w:r>
            <w:r>
              <w:t xml:space="preserve">nd social media really heavily. Related to this was a need </w:t>
            </w:r>
            <w:r w:rsidR="008D0043">
              <w:t xml:space="preserve">actually to draw process maps </w:t>
            </w:r>
            <w:r>
              <w:t xml:space="preserve">to </w:t>
            </w:r>
            <w:r w:rsidR="008D0043">
              <w:t xml:space="preserve">see how often </w:t>
            </w:r>
            <w:r>
              <w:t xml:space="preserve">and in what ways </w:t>
            </w:r>
            <w:r w:rsidR="008D0043">
              <w:t>we were contacting applicants</w:t>
            </w:r>
            <w:r>
              <w:t>,</w:t>
            </w:r>
            <w:r w:rsidR="008D0043">
              <w:t xml:space="preserve"> </w:t>
            </w:r>
            <w:r w:rsidR="008D0043">
              <w:lastRenderedPageBreak/>
              <w:t>because what we were quite concerned about overloading</w:t>
            </w:r>
            <w:r>
              <w:t xml:space="preserve"> and the timing of the activities</w:t>
            </w:r>
            <w:r w:rsidR="008D0043">
              <w:t xml:space="preserve">. </w:t>
            </w:r>
          </w:p>
        </w:tc>
      </w:tr>
      <w:tr w:rsidR="0096667D" w:rsidRPr="00B10A59" w:rsidTr="00784E56">
        <w:tc>
          <w:tcPr>
            <w:tcW w:w="2093" w:type="dxa"/>
            <w:vAlign w:val="center"/>
          </w:tcPr>
          <w:p w:rsidR="0096667D" w:rsidRPr="008F20EF" w:rsidRDefault="0096667D" w:rsidP="005327B5">
            <w:pPr>
              <w:jc w:val="center"/>
              <w:rPr>
                <w:b/>
              </w:rPr>
            </w:pPr>
            <w:r w:rsidRPr="008F20EF">
              <w:rPr>
                <w:b/>
              </w:rPr>
              <w:lastRenderedPageBreak/>
              <w:t>Participants</w:t>
            </w:r>
          </w:p>
        </w:tc>
        <w:tc>
          <w:tcPr>
            <w:tcW w:w="7796" w:type="dxa"/>
            <w:gridSpan w:val="3"/>
            <w:vAlign w:val="center"/>
          </w:tcPr>
          <w:p w:rsidR="00497269" w:rsidRDefault="00497269" w:rsidP="00497269">
            <w:r>
              <w:t xml:space="preserve">Teams/roles involved in the process: </w:t>
            </w:r>
          </w:p>
          <w:p w:rsidR="00497269" w:rsidRDefault="00497269" w:rsidP="00497269">
            <w:pPr>
              <w:pStyle w:val="ListParagraph"/>
              <w:numPr>
                <w:ilvl w:val="0"/>
                <w:numId w:val="25"/>
              </w:numPr>
            </w:pPr>
            <w:r>
              <w:t>Post</w:t>
            </w:r>
            <w:r w:rsidR="00DE49D4">
              <w:t>-</w:t>
            </w:r>
            <w:r>
              <w:t xml:space="preserve">Offer Conversion </w:t>
            </w:r>
            <w:r w:rsidR="00DE49D4">
              <w:t>g</w:t>
            </w:r>
            <w:r>
              <w:t xml:space="preserve">roup members, including: </w:t>
            </w:r>
            <w:r w:rsidR="00DE49D4">
              <w:t>strategy department heads, faculty admin, subject coordinators, faculty marketing</w:t>
            </w:r>
          </w:p>
          <w:p w:rsidR="00497269" w:rsidRDefault="00DE49D4" w:rsidP="00497269">
            <w:pPr>
              <w:pStyle w:val="ListParagraph"/>
              <w:numPr>
                <w:ilvl w:val="0"/>
                <w:numId w:val="25"/>
              </w:numPr>
            </w:pPr>
            <w:r>
              <w:t>Wider University team members: a</w:t>
            </w:r>
            <w:r w:rsidR="00497269">
              <w:t xml:space="preserve">dmissions, </w:t>
            </w:r>
            <w:r>
              <w:t>b</w:t>
            </w:r>
            <w:r w:rsidR="00497269">
              <w:t>usiness and</w:t>
            </w:r>
            <w:r>
              <w:t xml:space="preserve"> p</w:t>
            </w:r>
            <w:r w:rsidR="00497269">
              <w:t xml:space="preserve">lanning, </w:t>
            </w:r>
            <w:r>
              <w:t>s</w:t>
            </w:r>
            <w:r w:rsidR="00497269">
              <w:t xml:space="preserve">tudent </w:t>
            </w:r>
            <w:r>
              <w:t>u</w:t>
            </w:r>
            <w:r w:rsidR="00497269">
              <w:t xml:space="preserve">nion, </w:t>
            </w:r>
            <w:r>
              <w:t>accommodation, m</w:t>
            </w:r>
            <w:r w:rsidR="00497269">
              <w:t xml:space="preserve">arketing, </w:t>
            </w:r>
            <w:r>
              <w:t>international office</w:t>
            </w:r>
          </w:p>
          <w:p w:rsidR="0086508D" w:rsidRPr="0086508D" w:rsidRDefault="00497269" w:rsidP="00DE49D4">
            <w:pPr>
              <w:pStyle w:val="ListParagraph"/>
              <w:numPr>
                <w:ilvl w:val="0"/>
                <w:numId w:val="25"/>
              </w:numPr>
              <w:rPr>
                <w:rFonts w:ascii="Times New Roman" w:hAnsi="Times New Roman" w:cs="Times New Roman"/>
                <w:sz w:val="24"/>
                <w:szCs w:val="24"/>
                <w:lang w:eastAsia="en-GB"/>
              </w:rPr>
            </w:pPr>
            <w:r>
              <w:t>Students</w:t>
            </w:r>
          </w:p>
        </w:tc>
      </w:tr>
      <w:tr w:rsidR="0096667D" w:rsidRPr="00B10A59" w:rsidTr="004A501E">
        <w:tc>
          <w:tcPr>
            <w:tcW w:w="9889" w:type="dxa"/>
            <w:gridSpan w:val="4"/>
            <w:shd w:val="clear" w:color="auto" w:fill="EAF1DD" w:themeFill="accent3" w:themeFillTint="33"/>
          </w:tcPr>
          <w:p w:rsidR="0096667D" w:rsidRPr="00B10A59" w:rsidRDefault="0096667D" w:rsidP="001E3EA7">
            <w:pPr>
              <w:pStyle w:val="Heading2"/>
              <w:outlineLvl w:val="1"/>
            </w:pPr>
            <w:r w:rsidRPr="00B10A59">
              <w:t xml:space="preserve">The SOLUTION </w:t>
            </w:r>
          </w:p>
          <w:p w:rsidR="0096667D" w:rsidRPr="00B10A59" w:rsidRDefault="0096667D" w:rsidP="003B6FFF">
            <w:pPr>
              <w:pStyle w:val="Heading2"/>
              <w:outlineLvl w:val="1"/>
              <w:rPr>
                <w:i/>
                <w:szCs w:val="24"/>
              </w:rPr>
            </w:pPr>
            <w:r w:rsidRPr="00B10A59">
              <w:t xml:space="preserve">What did </w:t>
            </w:r>
            <w:r>
              <w:t>participating in the</w:t>
            </w:r>
            <w:r w:rsidRPr="00B10A59">
              <w:t xml:space="preserve"> process review </w:t>
            </w:r>
            <w:r>
              <w:t>achieve</w:t>
            </w:r>
            <w:r w:rsidRPr="00B10A59">
              <w:t xml:space="preserve"> for you?</w:t>
            </w:r>
          </w:p>
        </w:tc>
      </w:tr>
      <w:tr w:rsidR="0096667D" w:rsidRPr="00B10A59" w:rsidTr="001B2C51">
        <w:tc>
          <w:tcPr>
            <w:tcW w:w="2093" w:type="dxa"/>
            <w:vAlign w:val="center"/>
          </w:tcPr>
          <w:p w:rsidR="0096667D" w:rsidRPr="007C2CA0" w:rsidRDefault="0096667D" w:rsidP="007C2CA0">
            <w:pPr>
              <w:jc w:val="center"/>
              <w:rPr>
                <w:b/>
              </w:rPr>
            </w:pPr>
            <w:r>
              <w:rPr>
                <w:b/>
              </w:rPr>
              <w:t>Key understandings</w:t>
            </w:r>
          </w:p>
        </w:tc>
        <w:tc>
          <w:tcPr>
            <w:tcW w:w="7796" w:type="dxa"/>
            <w:gridSpan w:val="3"/>
            <w:vAlign w:val="center"/>
          </w:tcPr>
          <w:p w:rsidR="00AD3918" w:rsidRDefault="008D73AA" w:rsidP="00AD3918">
            <w:r w:rsidRPr="008D73AA">
              <w:t>Prior</w:t>
            </w:r>
            <w:r>
              <w:t xml:space="preserve"> to the workshop, the marketing team gathered in all the different kinds of letters that people send and other resources/materials. A key outcome from the process review was the idea/ decision to create a</w:t>
            </w:r>
            <w:r w:rsidR="00AD3918">
              <w:t xml:space="preserve"> </w:t>
            </w:r>
            <w:r>
              <w:t>'</w:t>
            </w:r>
            <w:r w:rsidR="00AD3918">
              <w:t>menu</w:t>
            </w:r>
            <w:r>
              <w:t>' on</w:t>
            </w:r>
            <w:r w:rsidR="00AD3918">
              <w:t xml:space="preserve"> how we communicate </w:t>
            </w:r>
            <w:r>
              <w:t>came out of the discussions. This would promote different methods, outline pros and cons and enable flexibility and choice, since people</w:t>
            </w:r>
            <w:r w:rsidR="00AD3918">
              <w:t xml:space="preserve"> tailor their communications depending on the kind of cohort, depending on </w:t>
            </w:r>
            <w:r>
              <w:t>the</w:t>
            </w:r>
            <w:r w:rsidR="00AD3918">
              <w:t xml:space="preserve"> subject </w:t>
            </w:r>
            <w:r>
              <w:t>and</w:t>
            </w:r>
            <w:r w:rsidR="00AD3918">
              <w:t xml:space="preserve"> whether they</w:t>
            </w:r>
            <w:r>
              <w:t xml:space="preserve"> a</w:t>
            </w:r>
            <w:r w:rsidR="00AD3918">
              <w:t xml:space="preserve">re postgraduate </w:t>
            </w:r>
            <w:r>
              <w:t>or undergraduate students:</w:t>
            </w:r>
            <w:r w:rsidR="00AD3918">
              <w:t xml:space="preserve"> different type</w:t>
            </w:r>
            <w:r>
              <w:t>s</w:t>
            </w:r>
            <w:r w:rsidR="00AD3918">
              <w:t xml:space="preserve"> of people,</w:t>
            </w:r>
            <w:r>
              <w:t xml:space="preserve"> </w:t>
            </w:r>
            <w:r w:rsidR="00AD3918">
              <w:t>different types of information.</w:t>
            </w:r>
            <w:r>
              <w:t xml:space="preserve"> As</w:t>
            </w:r>
            <w:r w:rsidR="00AD3918">
              <w:t xml:space="preserve"> a result of </w:t>
            </w:r>
            <w:r>
              <w:t xml:space="preserve">the </w:t>
            </w:r>
            <w:r w:rsidR="00AD3918">
              <w:t>postgraduate mapping</w:t>
            </w:r>
            <w:r>
              <w:t>,</w:t>
            </w:r>
            <w:r w:rsidR="00AD3918">
              <w:t xml:space="preserve"> the working group suggest</w:t>
            </w:r>
            <w:r>
              <w:t>ed</w:t>
            </w:r>
            <w:r w:rsidR="00AD3918">
              <w:t xml:space="preserve"> a minimum of five interactions with applicants would be most appropriate so we </w:t>
            </w:r>
            <w:r>
              <w:t xml:space="preserve">decided on </w:t>
            </w:r>
            <w:r w:rsidR="00AD3918">
              <w:t xml:space="preserve">best practice </w:t>
            </w:r>
            <w:r>
              <w:t xml:space="preserve">in that sense. </w:t>
            </w:r>
          </w:p>
          <w:p w:rsidR="00AD3918" w:rsidRPr="00B10A59" w:rsidRDefault="008D73AA" w:rsidP="008D73AA">
            <w:r>
              <w:t xml:space="preserve">Due to the different locations where the team are based across the University, </w:t>
            </w:r>
            <w:r w:rsidR="007E3694">
              <w:t>we actually very rarely see each on a</w:t>
            </w:r>
            <w:r>
              <w:t xml:space="preserve"> work level, so</w:t>
            </w:r>
            <w:r w:rsidR="007E3694">
              <w:t xml:space="preserve"> these process reviews are really good for </w:t>
            </w:r>
            <w:r>
              <w:t xml:space="preserve">creating a </w:t>
            </w:r>
            <w:r w:rsidR="007E3694">
              <w:t>consistent process</w:t>
            </w:r>
            <w:r>
              <w:t>. From the PPR, even though it can take a whole day, we saw how we</w:t>
            </w:r>
            <w:r w:rsidR="007E3694">
              <w:t xml:space="preserve"> could apply </w:t>
            </w:r>
            <w:r>
              <w:t>the approach</w:t>
            </w:r>
            <w:r w:rsidR="007E3694">
              <w:t xml:space="preserve"> to</w:t>
            </w:r>
            <w:r>
              <w:t xml:space="preserve"> </w:t>
            </w:r>
            <w:r w:rsidR="007E3694">
              <w:t xml:space="preserve">many different </w:t>
            </w:r>
            <w:r>
              <w:t>processes to enable us to share best practice more readily and regularly</w:t>
            </w:r>
            <w:r w:rsidR="007E3694">
              <w:t xml:space="preserve">. </w:t>
            </w:r>
          </w:p>
        </w:tc>
      </w:tr>
      <w:tr w:rsidR="0096667D" w:rsidRPr="00B10A59" w:rsidTr="001B2C51">
        <w:tc>
          <w:tcPr>
            <w:tcW w:w="2093" w:type="dxa"/>
            <w:vAlign w:val="center"/>
          </w:tcPr>
          <w:p w:rsidR="0096667D" w:rsidRPr="007C2CA0" w:rsidRDefault="0096667D" w:rsidP="007C2CA0">
            <w:pPr>
              <w:jc w:val="center"/>
              <w:rPr>
                <w:b/>
              </w:rPr>
            </w:pPr>
            <w:r w:rsidRPr="007C2CA0">
              <w:rPr>
                <w:b/>
              </w:rPr>
              <w:t>Intended outcomes</w:t>
            </w:r>
          </w:p>
        </w:tc>
        <w:tc>
          <w:tcPr>
            <w:tcW w:w="7796" w:type="dxa"/>
            <w:gridSpan w:val="3"/>
            <w:vAlign w:val="center"/>
          </w:tcPr>
          <w:p w:rsidR="004467AF" w:rsidRDefault="006B2F88" w:rsidP="006B2F88">
            <w:pPr>
              <w:pStyle w:val="ListParagraph"/>
              <w:numPr>
                <w:ilvl w:val="0"/>
                <w:numId w:val="27"/>
              </w:numPr>
              <w:ind w:left="461" w:hanging="357"/>
              <w:contextualSpacing w:val="0"/>
            </w:pPr>
            <w:r w:rsidRPr="006B2F88">
              <w:t>The main goal</w:t>
            </w:r>
            <w:r w:rsidR="004467AF" w:rsidRPr="006B2F88">
              <w:t xml:space="preserve"> in terms of criteria for success </w:t>
            </w:r>
            <w:r w:rsidRPr="006B2F88">
              <w:t>was to achieve c</w:t>
            </w:r>
            <w:r w:rsidR="004467AF" w:rsidRPr="006B2F88">
              <w:t>larity across everyone's point of view</w:t>
            </w:r>
            <w:r w:rsidRPr="006B2F88">
              <w:t>.</w:t>
            </w:r>
            <w:r>
              <w:t xml:space="preserve"> We</w:t>
            </w:r>
            <w:r w:rsidR="004467AF">
              <w:t xml:space="preserve"> kn</w:t>
            </w:r>
            <w:r>
              <w:t>o</w:t>
            </w:r>
            <w:r w:rsidR="004467AF">
              <w:t>w that different department</w:t>
            </w:r>
            <w:r>
              <w:t>s are different and want</w:t>
            </w:r>
            <w:r w:rsidR="004467AF">
              <w:t xml:space="preserve"> to send out different things, </w:t>
            </w:r>
            <w:r>
              <w:t>so it was a matter of</w:t>
            </w:r>
            <w:r w:rsidR="004467AF">
              <w:t xml:space="preserve"> creating a process that was a standardised as possible</w:t>
            </w:r>
            <w:r>
              <w:t xml:space="preserve"> without being rigid. We want to establish areas of best practice, which can be disseminated to all teams.</w:t>
            </w:r>
          </w:p>
          <w:p w:rsidR="006B2F88" w:rsidRDefault="006B2F88" w:rsidP="006B2F88">
            <w:pPr>
              <w:pStyle w:val="ListParagraph"/>
              <w:numPr>
                <w:ilvl w:val="0"/>
                <w:numId w:val="27"/>
              </w:numPr>
              <w:ind w:left="461" w:hanging="357"/>
              <w:contextualSpacing w:val="0"/>
            </w:pPr>
            <w:r>
              <w:t>Having c</w:t>
            </w:r>
            <w:r w:rsidR="0093653C">
              <w:t xml:space="preserve">onsistency across all </w:t>
            </w:r>
            <w:r>
              <w:t xml:space="preserve">the </w:t>
            </w:r>
            <w:r w:rsidR="0093653C">
              <w:t xml:space="preserve">different processes </w:t>
            </w:r>
            <w:r>
              <w:t xml:space="preserve">was also important, </w:t>
            </w:r>
            <w:r w:rsidR="0093653C">
              <w:t>because a lot of the time in one department we’ll be doing something totally different from another department</w:t>
            </w:r>
            <w:r>
              <w:t>. A useful output would therefore be a</w:t>
            </w:r>
            <w:r w:rsidR="0086508D">
              <w:t xml:space="preserve"> timeline of all current conversion activities </w:t>
            </w:r>
            <w:r>
              <w:t>and identifying</w:t>
            </w:r>
            <w:r w:rsidR="0086508D">
              <w:t xml:space="preserve"> gaps within the process.</w:t>
            </w:r>
            <w:r>
              <w:t xml:space="preserve"> </w:t>
            </w:r>
          </w:p>
          <w:p w:rsidR="0086508D" w:rsidRDefault="006B2F88" w:rsidP="006B2F88">
            <w:pPr>
              <w:pStyle w:val="ListParagraph"/>
              <w:numPr>
                <w:ilvl w:val="0"/>
                <w:numId w:val="27"/>
              </w:numPr>
              <w:ind w:left="461" w:hanging="357"/>
              <w:contextualSpacing w:val="0"/>
            </w:pPr>
            <w:r>
              <w:t>T</w:t>
            </w:r>
            <w:r w:rsidR="0086508D">
              <w:t>he aim is to have a greater understanding of what conversion activities are happening within the Faculty and how these fit with University wide communications and activity. This will avoid duplication and cross communications with applicants.</w:t>
            </w:r>
          </w:p>
          <w:p w:rsidR="0096667D" w:rsidRPr="00B10A59" w:rsidRDefault="0086508D" w:rsidP="006B2F88">
            <w:pPr>
              <w:pStyle w:val="ListParagraph"/>
              <w:numPr>
                <w:ilvl w:val="0"/>
                <w:numId w:val="27"/>
              </w:numPr>
              <w:ind w:left="461" w:hanging="357"/>
              <w:contextualSpacing w:val="0"/>
            </w:pPr>
            <w:r>
              <w:t>A conversion matrix will be developed for the Faculty to benchmark the success of conversion activities and potentially inform recruitment activities.</w:t>
            </w:r>
          </w:p>
        </w:tc>
      </w:tr>
      <w:tr w:rsidR="0096667D" w:rsidRPr="00B10A59" w:rsidTr="001B2C51">
        <w:tc>
          <w:tcPr>
            <w:tcW w:w="2093" w:type="dxa"/>
            <w:vAlign w:val="center"/>
          </w:tcPr>
          <w:p w:rsidR="0096667D" w:rsidRPr="007C2CA0" w:rsidRDefault="0096667D" w:rsidP="008821F5">
            <w:pPr>
              <w:jc w:val="center"/>
              <w:rPr>
                <w:b/>
              </w:rPr>
            </w:pPr>
            <w:r>
              <w:rPr>
                <w:b/>
              </w:rPr>
              <w:t>Light bulb moments</w:t>
            </w:r>
          </w:p>
        </w:tc>
        <w:tc>
          <w:tcPr>
            <w:tcW w:w="7796" w:type="dxa"/>
            <w:gridSpan w:val="3"/>
            <w:vAlign w:val="center"/>
          </w:tcPr>
          <w:p w:rsidR="00F72212" w:rsidRDefault="000C0900" w:rsidP="006378DF">
            <w:r>
              <w:t>The process review</w:t>
            </w:r>
            <w:r w:rsidR="006378DF">
              <w:t xml:space="preserve"> was all </w:t>
            </w:r>
            <w:r>
              <w:t>fairly straight forward. However,</w:t>
            </w:r>
            <w:r w:rsidR="006378DF">
              <w:t xml:space="preserve"> we </w:t>
            </w:r>
            <w:r>
              <w:t xml:space="preserve">realised we </w:t>
            </w:r>
            <w:r w:rsidR="006378DF">
              <w:t xml:space="preserve">all had in our heads </w:t>
            </w:r>
            <w:r>
              <w:t>that</w:t>
            </w:r>
            <w:r w:rsidR="006378DF">
              <w:t xml:space="preserve"> we overload applicant</w:t>
            </w:r>
            <w:r w:rsidR="000A72EB">
              <w:t>s and it turned out that actually that we don't</w:t>
            </w:r>
            <w:r>
              <w:t>. E</w:t>
            </w:r>
            <w:r w:rsidR="006378DF">
              <w:t xml:space="preserve">verybody </w:t>
            </w:r>
            <w:r>
              <w:t xml:space="preserve">was </w:t>
            </w:r>
            <w:r w:rsidR="006378DF">
              <w:t>quite shocked</w:t>
            </w:r>
            <w:r w:rsidR="000A72EB">
              <w:t>, because you go into it thinking something and actually that's not the case.</w:t>
            </w:r>
          </w:p>
          <w:p w:rsidR="006378DF" w:rsidRDefault="00F72212" w:rsidP="006378DF">
            <w:r>
              <w:t>Having done the initial process maps</w:t>
            </w:r>
            <w:r w:rsidR="00B03433">
              <w:t>,</w:t>
            </w:r>
            <w:r>
              <w:t xml:space="preserve"> we realise</w:t>
            </w:r>
            <w:r w:rsidR="00B03433">
              <w:t>d</w:t>
            </w:r>
            <w:r>
              <w:t xml:space="preserve"> that there was loads of different email</w:t>
            </w:r>
            <w:r w:rsidR="00B03433">
              <w:t>s</w:t>
            </w:r>
            <w:r>
              <w:t xml:space="preserve"> getting sent to applicant</w:t>
            </w:r>
            <w:r w:rsidR="00B03433">
              <w:t>s</w:t>
            </w:r>
            <w:r>
              <w:t xml:space="preserve"> both from the university and from the department's, so they</w:t>
            </w:r>
          </w:p>
          <w:p w:rsidR="004467AF" w:rsidRDefault="00CF7C6D" w:rsidP="006378DF">
            <w:r>
              <w:t>T</w:t>
            </w:r>
            <w:r w:rsidR="004467AF">
              <w:t xml:space="preserve">here was someone from </w:t>
            </w:r>
            <w:r>
              <w:t>our international office</w:t>
            </w:r>
            <w:r w:rsidR="004467AF">
              <w:t xml:space="preserve"> </w:t>
            </w:r>
            <w:r>
              <w:t>at the workshop</w:t>
            </w:r>
            <w:r w:rsidR="004467AF">
              <w:t>, who was really useful because she explained wh</w:t>
            </w:r>
            <w:r>
              <w:t>at they</w:t>
            </w:r>
            <w:r w:rsidR="004467AF">
              <w:t xml:space="preserve"> send this out</w:t>
            </w:r>
            <w:r>
              <w:t xml:space="preserve"> to international students. A really good thing that came to light was their booklet that they send out to international students. It was detailed resource that has a really easy guide on what’s expected of applicants, where to go and all kind of stuff. However, we could see that the information</w:t>
            </w:r>
            <w:r w:rsidR="004467AF">
              <w:t xml:space="preserve"> wasn’t just contradictory</w:t>
            </w:r>
            <w:r>
              <w:t xml:space="preserve"> to what we sent to </w:t>
            </w:r>
            <w:r w:rsidR="001441FE">
              <w:t>all</w:t>
            </w:r>
            <w:r>
              <w:t xml:space="preserve"> students</w:t>
            </w:r>
            <w:r w:rsidR="004467AF">
              <w:t>, it was different as well</w:t>
            </w:r>
            <w:r>
              <w:t>;</w:t>
            </w:r>
            <w:r w:rsidR="004467AF">
              <w:t xml:space="preserve"> so they were getting a variety of really odd </w:t>
            </w:r>
            <w:r w:rsidR="004467AF">
              <w:lastRenderedPageBreak/>
              <w:t>communications.</w:t>
            </w:r>
            <w:r>
              <w:t xml:space="preserve"> </w:t>
            </w:r>
          </w:p>
          <w:p w:rsidR="001E71DF" w:rsidRPr="00365AEF" w:rsidRDefault="00250B71" w:rsidP="006378DF">
            <w:r>
              <w:t>The biggest discoveries were</w:t>
            </w:r>
            <w:r w:rsidR="001E71DF">
              <w:t xml:space="preserve"> just about realising how much duplication </w:t>
            </w:r>
            <w:r>
              <w:t>there exists</w:t>
            </w:r>
            <w:r w:rsidR="001E71DF">
              <w:t xml:space="preserve"> across all the departments</w:t>
            </w:r>
            <w:r>
              <w:t>,</w:t>
            </w:r>
            <w:r w:rsidR="001E71DF">
              <w:t xml:space="preserve"> but also </w:t>
            </w:r>
            <w:r>
              <w:t>the variety of</w:t>
            </w:r>
            <w:r w:rsidR="001E71DF">
              <w:t xml:space="preserve"> different form</w:t>
            </w:r>
            <w:r>
              <w:t>ats. For example,</w:t>
            </w:r>
            <w:r w:rsidR="001E71DF">
              <w:t xml:space="preserve"> one department send</w:t>
            </w:r>
            <w:r>
              <w:t xml:space="preserve">s letters </w:t>
            </w:r>
            <w:r w:rsidR="001E71DF">
              <w:t>out</w:t>
            </w:r>
            <w:r>
              <w:t>,</w:t>
            </w:r>
            <w:r w:rsidR="001E71DF">
              <w:t xml:space="preserve"> one would invite </w:t>
            </w:r>
            <w:r>
              <w:t>applicants</w:t>
            </w:r>
            <w:r w:rsidR="001E71DF">
              <w:t xml:space="preserve"> along to a </w:t>
            </w:r>
            <w:r>
              <w:t>special event day,</w:t>
            </w:r>
            <w:r w:rsidR="001E71DF">
              <w:t xml:space="preserve"> and </w:t>
            </w:r>
            <w:r>
              <w:t>other things like that. One moment I</w:t>
            </w:r>
            <w:r w:rsidR="001E71DF">
              <w:t xml:space="preserve"> remember was when we had the process mapped out at the time and we counted the number of email communications</w:t>
            </w:r>
            <w:r>
              <w:t xml:space="preserve"> that</w:t>
            </w:r>
            <w:r w:rsidR="001E71DF">
              <w:t xml:space="preserve"> applicants </w:t>
            </w:r>
            <w:r>
              <w:t>were</w:t>
            </w:r>
            <w:r w:rsidR="001E71DF">
              <w:t xml:space="preserve"> sent </w:t>
            </w:r>
            <w:r w:rsidR="00C61807">
              <w:t>-</w:t>
            </w:r>
            <w:r w:rsidR="001E71DF">
              <w:t xml:space="preserve"> about 12 emails, they would see from </w:t>
            </w:r>
            <w:r w:rsidR="00C61807">
              <w:t>the University:</w:t>
            </w:r>
            <w:r w:rsidR="001E71DF">
              <w:t xml:space="preserve"> 6 from central admissions and </w:t>
            </w:r>
            <w:r w:rsidR="00C61807">
              <w:t>6</w:t>
            </w:r>
            <w:r w:rsidR="001E71DF">
              <w:t xml:space="preserve"> from the department all saying very similar things. </w:t>
            </w:r>
          </w:p>
        </w:tc>
      </w:tr>
      <w:tr w:rsidR="0096667D" w:rsidRPr="00B10A59" w:rsidTr="001B2C51">
        <w:tc>
          <w:tcPr>
            <w:tcW w:w="2093" w:type="dxa"/>
            <w:vAlign w:val="center"/>
          </w:tcPr>
          <w:p w:rsidR="0096667D" w:rsidRDefault="0096667D" w:rsidP="00F0526B">
            <w:pPr>
              <w:jc w:val="center"/>
              <w:rPr>
                <w:b/>
              </w:rPr>
            </w:pPr>
            <w:r>
              <w:lastRenderedPageBreak/>
              <w:br w:type="page"/>
            </w:r>
            <w:r>
              <w:rPr>
                <w:b/>
              </w:rPr>
              <w:t>PPR techniques</w:t>
            </w:r>
          </w:p>
        </w:tc>
        <w:tc>
          <w:tcPr>
            <w:tcW w:w="7796" w:type="dxa"/>
            <w:gridSpan w:val="3"/>
            <w:vAlign w:val="center"/>
          </w:tcPr>
          <w:p w:rsidR="00024B9B" w:rsidRDefault="00024B9B" w:rsidP="005C1DCB">
            <w:r>
              <w:t xml:space="preserve">The team had rather merged roles in the review process, rather than a clear process leader as project manager. One person </w:t>
            </w:r>
            <w:r w:rsidR="005C1DCB">
              <w:t>wrote the Terms of Reference initially</w:t>
            </w:r>
            <w:r>
              <w:t xml:space="preserve"> and later the final report, another create</w:t>
            </w:r>
            <w:r w:rsidR="005C1DCB" w:rsidRPr="00363EA9">
              <w:t xml:space="preserve"> the </w:t>
            </w:r>
            <w:r>
              <w:t>map/chart</w:t>
            </w:r>
            <w:r w:rsidR="005C1DCB">
              <w:t xml:space="preserve">. </w:t>
            </w:r>
          </w:p>
          <w:p w:rsidR="0035189C" w:rsidRPr="00AB7E4F" w:rsidRDefault="00465C06" w:rsidP="00465C06">
            <w:r>
              <w:t>The first part of mapping</w:t>
            </w:r>
            <w:r w:rsidR="00C2087C">
              <w:t xml:space="preserve"> </w:t>
            </w:r>
            <w:r>
              <w:t>is the</w:t>
            </w:r>
            <w:r w:rsidR="00C2087C">
              <w:t xml:space="preserve"> best part about these process reviews</w:t>
            </w:r>
            <w:r>
              <w:t>, because it highlights what is happening at the moment creates the focus for asking questions of</w:t>
            </w:r>
            <w:r w:rsidR="00C2087C">
              <w:t xml:space="preserve"> why we </w:t>
            </w:r>
            <w:r>
              <w:t>do things a certain way. W</w:t>
            </w:r>
            <w:r w:rsidR="00C2087C">
              <w:t xml:space="preserve">hereas before </w:t>
            </w:r>
            <w:r>
              <w:t>someone might</w:t>
            </w:r>
            <w:r w:rsidR="00C2087C">
              <w:t xml:space="preserve"> never dare say let</w:t>
            </w:r>
            <w:r>
              <w:t>'</w:t>
            </w:r>
            <w:r w:rsidR="00C2087C">
              <w:t>s change this, let</w:t>
            </w:r>
            <w:r>
              <w:t>'</w:t>
            </w:r>
            <w:r w:rsidR="00C2087C">
              <w:t>s change that</w:t>
            </w:r>
            <w:r>
              <w:t>, you have the freedom to change the process</w:t>
            </w:r>
            <w:r w:rsidR="00C2087C">
              <w:t xml:space="preserve"> because you </w:t>
            </w:r>
            <w:r>
              <w:t>become much more</w:t>
            </w:r>
            <w:r w:rsidR="00C2087C">
              <w:t xml:space="preserve"> aware of how it</w:t>
            </w:r>
            <w:r>
              <w:t xml:space="preserve"> wi</w:t>
            </w:r>
            <w:r w:rsidR="00C2087C">
              <w:t>ll impact anot</w:t>
            </w:r>
            <w:r>
              <w:t>her department and understand</w:t>
            </w:r>
            <w:r w:rsidR="00C2087C">
              <w:t xml:space="preserve"> the wider effects.</w:t>
            </w:r>
          </w:p>
        </w:tc>
      </w:tr>
      <w:tr w:rsidR="0096667D" w:rsidRPr="00B10A59" w:rsidTr="001B2C51">
        <w:tc>
          <w:tcPr>
            <w:tcW w:w="2093" w:type="dxa"/>
            <w:vAlign w:val="center"/>
          </w:tcPr>
          <w:p w:rsidR="0096667D" w:rsidRPr="007C2CA0" w:rsidRDefault="0096667D" w:rsidP="007C2CA0">
            <w:pPr>
              <w:jc w:val="center"/>
              <w:rPr>
                <w:b/>
              </w:rPr>
            </w:pPr>
            <w:r>
              <w:rPr>
                <w:b/>
              </w:rPr>
              <w:t>Actions / next steps</w:t>
            </w:r>
          </w:p>
        </w:tc>
        <w:tc>
          <w:tcPr>
            <w:tcW w:w="7796" w:type="dxa"/>
            <w:gridSpan w:val="3"/>
            <w:vAlign w:val="center"/>
          </w:tcPr>
          <w:p w:rsidR="0096667D" w:rsidRPr="00584438" w:rsidRDefault="001D29B7" w:rsidP="001D29B7">
            <w:r>
              <w:t>Now we have</w:t>
            </w:r>
            <w:r w:rsidR="00AD3918">
              <w:t xml:space="preserve"> agreed </w:t>
            </w:r>
            <w:r>
              <w:t>a new process and the different touch points, we are</w:t>
            </w:r>
            <w:r w:rsidR="00AD3918">
              <w:t xml:space="preserve"> going to re</w:t>
            </w:r>
            <w:r>
              <w:t>-</w:t>
            </w:r>
            <w:r w:rsidR="00AD3918">
              <w:t xml:space="preserve">circulate the </w:t>
            </w:r>
            <w:r>
              <w:t xml:space="preserve">action plan for </w:t>
            </w:r>
            <w:r w:rsidR="00AD3918">
              <w:t>moving forward to the next academic year</w:t>
            </w:r>
            <w:r>
              <w:t>.</w:t>
            </w:r>
            <w:r w:rsidR="00AD3918">
              <w:t xml:space="preserve"> </w:t>
            </w:r>
            <w:r>
              <w:t xml:space="preserve">In </w:t>
            </w:r>
            <w:r w:rsidR="00AD3918">
              <w:t xml:space="preserve">terms </w:t>
            </w:r>
            <w:r>
              <w:t>of getting that information to everybody for them to use as a tool,</w:t>
            </w:r>
            <w:r w:rsidR="00AD3918">
              <w:t xml:space="preserve"> we create</w:t>
            </w:r>
            <w:r>
              <w:t>d</w:t>
            </w:r>
            <w:r w:rsidR="00AD3918">
              <w:t xml:space="preserve"> </w:t>
            </w:r>
            <w:r>
              <w:t>a Google drive</w:t>
            </w:r>
            <w:r w:rsidR="00AD3918">
              <w:t xml:space="preserve"> so everybody had acce</w:t>
            </w:r>
            <w:r>
              <w:t>ss to th</w:t>
            </w:r>
            <w:r w:rsidR="00AD3918">
              <w:t>e best p</w:t>
            </w:r>
            <w:r>
              <w:t xml:space="preserve">ractice examples of the letters, emails, booklet, as well as </w:t>
            </w:r>
            <w:r w:rsidR="00AD3918">
              <w:t>recommendations for communications</w:t>
            </w:r>
            <w:r>
              <w:t>.</w:t>
            </w:r>
            <w:r w:rsidR="00AD3918">
              <w:t xml:space="preserve"> </w:t>
            </w:r>
          </w:p>
        </w:tc>
      </w:tr>
      <w:tr w:rsidR="0096667D" w:rsidRPr="00F666DE" w:rsidTr="004A501E">
        <w:tc>
          <w:tcPr>
            <w:tcW w:w="9889" w:type="dxa"/>
            <w:gridSpan w:val="4"/>
            <w:shd w:val="clear" w:color="auto" w:fill="EAF1DD" w:themeFill="accent3" w:themeFillTint="33"/>
          </w:tcPr>
          <w:p w:rsidR="0096667D" w:rsidRPr="00F666DE" w:rsidRDefault="0096667D" w:rsidP="001E3EA7">
            <w:pPr>
              <w:pStyle w:val="Heading2"/>
              <w:outlineLvl w:val="1"/>
            </w:pPr>
            <w:r w:rsidRPr="00F666DE">
              <w:t xml:space="preserve">The RESULT </w:t>
            </w:r>
          </w:p>
          <w:p w:rsidR="0096667D" w:rsidRPr="00F666DE" w:rsidRDefault="0096667D" w:rsidP="001E3EA7">
            <w:pPr>
              <w:pStyle w:val="Heading2"/>
              <w:outlineLvl w:val="1"/>
              <w:rPr>
                <w:szCs w:val="24"/>
              </w:rPr>
            </w:pPr>
            <w:r w:rsidRPr="00F666DE">
              <w:t>What are the tangible outcomes &amp; impact?</w:t>
            </w:r>
          </w:p>
        </w:tc>
      </w:tr>
      <w:tr w:rsidR="0096667D" w:rsidRPr="00B10A59" w:rsidTr="001B2C51">
        <w:tc>
          <w:tcPr>
            <w:tcW w:w="2093" w:type="dxa"/>
            <w:vAlign w:val="center"/>
          </w:tcPr>
          <w:p w:rsidR="0096667D" w:rsidRPr="007C2CA0" w:rsidRDefault="0096667D" w:rsidP="007C2CA0">
            <w:pPr>
              <w:jc w:val="center"/>
              <w:rPr>
                <w:b/>
              </w:rPr>
            </w:pPr>
            <w:r w:rsidRPr="007C2CA0">
              <w:rPr>
                <w:b/>
              </w:rPr>
              <w:t>Immediate changes</w:t>
            </w:r>
          </w:p>
          <w:p w:rsidR="0096667D" w:rsidRPr="00B10A59" w:rsidRDefault="0096667D" w:rsidP="007C2CA0">
            <w:pPr>
              <w:jc w:val="center"/>
            </w:pPr>
          </w:p>
        </w:tc>
        <w:tc>
          <w:tcPr>
            <w:tcW w:w="7796" w:type="dxa"/>
            <w:gridSpan w:val="3"/>
            <w:vAlign w:val="center"/>
          </w:tcPr>
          <w:p w:rsidR="004467AF" w:rsidRPr="00391600" w:rsidRDefault="00355822" w:rsidP="00CB2060">
            <w:r w:rsidRPr="00355822">
              <w:t xml:space="preserve">On a day-to-day basis, people working </w:t>
            </w:r>
            <w:r w:rsidR="00CB2060">
              <w:t>on the ground with the detail</w:t>
            </w:r>
            <w:r w:rsidRPr="00355822">
              <w:t xml:space="preserve"> </w:t>
            </w:r>
            <w:r w:rsidR="009A596A">
              <w:t>are best placed to</w:t>
            </w:r>
            <w:r w:rsidRPr="00355822">
              <w:t xml:space="preserve"> </w:t>
            </w:r>
            <w:r w:rsidR="009A596A">
              <w:t>assess how the new resources are changing</w:t>
            </w:r>
            <w:r w:rsidR="00CB2060">
              <w:t xml:space="preserve"> their practices</w:t>
            </w:r>
            <w:r w:rsidRPr="00355822">
              <w:t>.</w:t>
            </w:r>
            <w:r w:rsidR="00AD3918" w:rsidRPr="00355822">
              <w:t xml:space="preserve"> </w:t>
            </w:r>
            <w:r w:rsidR="000F093B">
              <w:t>I’d say 80% of the whole process was relatively fixed</w:t>
            </w:r>
            <w:r w:rsidR="009A596A">
              <w:t>,</w:t>
            </w:r>
            <w:r w:rsidR="000F093B">
              <w:t xml:space="preserve"> but we </w:t>
            </w:r>
            <w:r w:rsidR="009A596A">
              <w:t>have</w:t>
            </w:r>
            <w:r w:rsidR="000F093B">
              <w:t xml:space="preserve"> </w:t>
            </w:r>
            <w:r w:rsidR="009A596A">
              <w:t xml:space="preserve">now </w:t>
            </w:r>
            <w:r w:rsidR="000F093B">
              <w:t>really cater</w:t>
            </w:r>
            <w:r w:rsidR="009A596A">
              <w:t>ed</w:t>
            </w:r>
            <w:r w:rsidR="000F093B">
              <w:t xml:space="preserve"> for flexibility</w:t>
            </w:r>
            <w:r w:rsidR="009A596A">
              <w:t xml:space="preserve"> so that the approaches</w:t>
            </w:r>
            <w:r w:rsidR="000F093B">
              <w:t xml:space="preserve"> w</w:t>
            </w:r>
            <w:r w:rsidR="009A596A">
              <w:t xml:space="preserve">ere applicable. </w:t>
            </w:r>
            <w:r w:rsidR="000F093B">
              <w:t>There was ac</w:t>
            </w:r>
            <w:r w:rsidR="009A596A">
              <w:t xml:space="preserve">tually no point in making a 'one- </w:t>
            </w:r>
            <w:r w:rsidR="000F093B">
              <w:t>size</w:t>
            </w:r>
            <w:r w:rsidR="009A596A">
              <w:t>-</w:t>
            </w:r>
            <w:r w:rsidR="000F093B">
              <w:t>fits</w:t>
            </w:r>
            <w:r w:rsidR="009A596A">
              <w:t>-</w:t>
            </w:r>
            <w:r w:rsidR="000F093B">
              <w:t>all</w:t>
            </w:r>
            <w:r w:rsidR="009A596A">
              <w:t>' process,</w:t>
            </w:r>
            <w:r w:rsidR="000F093B">
              <w:t xml:space="preserve"> because every department run</w:t>
            </w:r>
            <w:r w:rsidR="009A596A">
              <w:t>s things</w:t>
            </w:r>
            <w:r w:rsidR="000F093B">
              <w:t xml:space="preserve"> differently and they will require different </w:t>
            </w:r>
            <w:r w:rsidR="009A596A">
              <w:t>approaches. We</w:t>
            </w:r>
            <w:r w:rsidR="000F093B">
              <w:t xml:space="preserve"> all agreed we would standardise as much as possible</w:t>
            </w:r>
            <w:r w:rsidR="009A596A">
              <w:t>, quite mindful of going through a few o</w:t>
            </w:r>
            <w:r w:rsidR="009A596A" w:rsidRPr="009A596A">
              <w:t xml:space="preserve">f the different pinch points, so </w:t>
            </w:r>
            <w:r w:rsidR="000F093B" w:rsidRPr="009A596A">
              <w:t>there were various parts were there were exceptions.</w:t>
            </w:r>
          </w:p>
        </w:tc>
      </w:tr>
      <w:tr w:rsidR="0096667D" w:rsidRPr="00B10A59" w:rsidTr="001B2C51">
        <w:tc>
          <w:tcPr>
            <w:tcW w:w="2093" w:type="dxa"/>
            <w:vAlign w:val="center"/>
          </w:tcPr>
          <w:p w:rsidR="0096667D" w:rsidRPr="007C2CA0" w:rsidRDefault="0096667D" w:rsidP="007C2CA0">
            <w:pPr>
              <w:jc w:val="center"/>
              <w:rPr>
                <w:b/>
              </w:rPr>
            </w:pPr>
            <w:r>
              <w:rPr>
                <w:b/>
              </w:rPr>
              <w:t>Improvements made</w:t>
            </w:r>
          </w:p>
        </w:tc>
        <w:tc>
          <w:tcPr>
            <w:tcW w:w="7796" w:type="dxa"/>
            <w:gridSpan w:val="3"/>
            <w:vAlign w:val="center"/>
          </w:tcPr>
          <w:p w:rsidR="00AD3918" w:rsidRDefault="002111D4" w:rsidP="00AD3918">
            <w:r>
              <w:t xml:space="preserve">Our faculty working group discusses activities on a bimonthly basis. However, conversion activity is an on-going big project across the University, being reviewed annually just in time for the next academic year. </w:t>
            </w:r>
            <w:r w:rsidR="00AD3918">
              <w:t>In terms of figures</w:t>
            </w:r>
            <w:r>
              <w:t xml:space="preserve"> for improvements made from this PPR, therefore, it's early days in terms of the cycle. F</w:t>
            </w:r>
            <w:r w:rsidR="00AD3918">
              <w:t>or example</w:t>
            </w:r>
            <w:r>
              <w:t>, comparing</w:t>
            </w:r>
            <w:r w:rsidR="00AD3918">
              <w:t xml:space="preserve"> how many people we conve</w:t>
            </w:r>
            <w:r>
              <w:t xml:space="preserve">rted this year compared to last, </w:t>
            </w:r>
            <w:r w:rsidR="00AD3918">
              <w:t xml:space="preserve">we </w:t>
            </w:r>
            <w:r>
              <w:t>h</w:t>
            </w:r>
            <w:r w:rsidR="00AD3918">
              <w:t>aven’t got those numbers</w:t>
            </w:r>
            <w:r>
              <w:t xml:space="preserve"> yet</w:t>
            </w:r>
            <w:r w:rsidR="00AD3918">
              <w:t xml:space="preserve">. </w:t>
            </w:r>
            <w:r>
              <w:t>However,</w:t>
            </w:r>
            <w:r w:rsidR="00AD3918">
              <w:t xml:space="preserve"> from </w:t>
            </w:r>
            <w:r>
              <w:t>our faculty</w:t>
            </w:r>
            <w:r w:rsidR="00AD3918">
              <w:t xml:space="preserve"> bimonthly meetings</w:t>
            </w:r>
            <w:r>
              <w:t>,</w:t>
            </w:r>
            <w:r w:rsidR="00AD3918">
              <w:t xml:space="preserve"> I can definitely say the conversion a</w:t>
            </w:r>
            <w:r>
              <w:t>ctivities have been stepped up.</w:t>
            </w:r>
          </w:p>
          <w:p w:rsidR="00EF1E5E" w:rsidRPr="002719CB" w:rsidRDefault="007641CC" w:rsidP="00F64342">
            <w:r>
              <w:t>From this, we</w:t>
            </w:r>
            <w:r w:rsidR="00EF1E5E">
              <w:t xml:space="preserve"> hope that the majority of program</w:t>
            </w:r>
            <w:r>
              <w:t>me</w:t>
            </w:r>
            <w:r w:rsidR="00EF1E5E">
              <w:t xml:space="preserve">s that the conversion activity </w:t>
            </w:r>
            <w:r>
              <w:t>affects will</w:t>
            </w:r>
            <w:r w:rsidR="00EF1E5E">
              <w:t xml:space="preserve"> improve</w:t>
            </w:r>
            <w:r w:rsidR="00CB2060">
              <w:t xml:space="preserve">. What we notice is transfer of practice; </w:t>
            </w:r>
            <w:r w:rsidR="00CB2060" w:rsidRPr="00CB2060">
              <w:t>when</w:t>
            </w:r>
            <w:r w:rsidR="00EF1E5E" w:rsidRPr="00CB2060">
              <w:t xml:space="preserve"> something is working in one area, </w:t>
            </w:r>
            <w:r w:rsidR="00CB2060" w:rsidRPr="00CB2060">
              <w:t>how it can</w:t>
            </w:r>
            <w:r w:rsidR="00EF1E5E" w:rsidRPr="00CB2060">
              <w:t xml:space="preserve"> be improved across-the-board</w:t>
            </w:r>
            <w:r w:rsidR="00CB2060" w:rsidRPr="00CB2060">
              <w:t xml:space="preserve">. </w:t>
            </w:r>
            <w:r w:rsidR="00F64342">
              <w:t>For example, in one area people were telephoning applicants to engage and convert them, which is not something we do in every area.  Others were using Twitter quite effectively, so we would then look to transfer that to another area.</w:t>
            </w:r>
          </w:p>
        </w:tc>
      </w:tr>
      <w:tr w:rsidR="0096667D" w:rsidRPr="00B10A59" w:rsidTr="001B2C51">
        <w:tc>
          <w:tcPr>
            <w:tcW w:w="2093" w:type="dxa"/>
            <w:vAlign w:val="center"/>
          </w:tcPr>
          <w:p w:rsidR="0096667D" w:rsidRPr="007C2CA0" w:rsidRDefault="0096667D" w:rsidP="007C2CA0">
            <w:pPr>
              <w:jc w:val="center"/>
              <w:rPr>
                <w:b/>
              </w:rPr>
            </w:pPr>
            <w:r>
              <w:rPr>
                <w:b/>
              </w:rPr>
              <w:t>Evidence of benefits</w:t>
            </w:r>
          </w:p>
          <w:p w:rsidR="0096667D" w:rsidRPr="00B10A59" w:rsidRDefault="0096667D" w:rsidP="007C2CA0">
            <w:pPr>
              <w:jc w:val="center"/>
            </w:pPr>
          </w:p>
        </w:tc>
        <w:tc>
          <w:tcPr>
            <w:tcW w:w="7796" w:type="dxa"/>
            <w:gridSpan w:val="3"/>
            <w:vAlign w:val="center"/>
          </w:tcPr>
          <w:p w:rsidR="00562FFF" w:rsidRDefault="00F64342" w:rsidP="008A3B1C">
            <w:r>
              <w:t xml:space="preserve">There were benefits from the PPR in </w:t>
            </w:r>
            <w:r w:rsidRPr="00F64342">
              <w:t xml:space="preserve">terms of efficiency gains. For example, there was a lot of duplication in the number of emails applicants received from us. At the end of the workshop, once we'd agreed the new process, we counted again and we had halved the amount. </w:t>
            </w:r>
            <w:r>
              <w:t xml:space="preserve">Because we knew central admissions were doing certain things, </w:t>
            </w:r>
            <w:r w:rsidRPr="00F64342">
              <w:t xml:space="preserve">we were able to </w:t>
            </w:r>
            <w:r>
              <w:t xml:space="preserve">stop doing the same </w:t>
            </w:r>
            <w:r w:rsidR="008A3B1C">
              <w:t xml:space="preserve">and dovetail better with conversion activity they were doing. This </w:t>
            </w:r>
            <w:r w:rsidRPr="00F64342">
              <w:t>reduce</w:t>
            </w:r>
            <w:r w:rsidR="008A3B1C">
              <w:t>s</w:t>
            </w:r>
            <w:r w:rsidRPr="00F64342">
              <w:t xml:space="preserve"> staff time</w:t>
            </w:r>
            <w:r w:rsidR="008A3B1C">
              <w:t xml:space="preserve"> and </w:t>
            </w:r>
            <w:r w:rsidRPr="00F64342">
              <w:t>lessen</w:t>
            </w:r>
            <w:r w:rsidR="008A3B1C">
              <w:t>s</w:t>
            </w:r>
            <w:r w:rsidRPr="00F64342">
              <w:t xml:space="preserve"> workloads in the faculty.</w:t>
            </w:r>
            <w:r w:rsidR="008A3B1C">
              <w:t xml:space="preserve"> </w:t>
            </w:r>
            <w:r w:rsidR="00562FFF">
              <w:t>From a personal point of view, knowing that I don’t have to send out as many emails has definitely freed up a lot of my time.</w:t>
            </w:r>
          </w:p>
          <w:p w:rsidR="008A3B1C" w:rsidRDefault="008A3B1C" w:rsidP="008A3B1C">
            <w:r>
              <w:t>For example, in one department being able to</w:t>
            </w:r>
            <w:r w:rsidR="00562FFF">
              <w:t xml:space="preserve"> clarify the process, means we can use </w:t>
            </w:r>
            <w:r>
              <w:t xml:space="preserve">the </w:t>
            </w:r>
            <w:r>
              <w:lastRenderedPageBreak/>
              <w:t xml:space="preserve">process map </w:t>
            </w:r>
            <w:r w:rsidR="00562FFF">
              <w:t xml:space="preserve">as a reference tool. When we </w:t>
            </w:r>
            <w:r>
              <w:t xml:space="preserve"> get an enquiry, </w:t>
            </w:r>
            <w:r w:rsidR="00562FFF">
              <w:t>we</w:t>
            </w:r>
            <w:r>
              <w:t xml:space="preserve"> can inform them that they should receive an email soon from the central </w:t>
            </w:r>
            <w:r w:rsidR="00562FFF">
              <w:t>U</w:t>
            </w:r>
            <w:r>
              <w:t>niversity that will answer your questions.</w:t>
            </w:r>
            <w:r w:rsidR="00562FFF">
              <w:t xml:space="preserve"> It’s meant understanding where they are in the communications process before you take time to send anything out, whether it's something scheduled or a random email trying to push people if offers are low; not that we’ve done that, just for example. It is good to look at that process and see where that fits it in the applicants timeline.</w:t>
            </w:r>
          </w:p>
          <w:p w:rsidR="00F64342" w:rsidRDefault="003720B8" w:rsidP="00AD3918">
            <w:r>
              <w:t xml:space="preserve">In terms of measuring </w:t>
            </w:r>
            <w:r w:rsidR="00F64342">
              <w:t>outcomes</w:t>
            </w:r>
            <w:r>
              <w:t xml:space="preserve">, </w:t>
            </w:r>
            <w:r w:rsidR="00F64342">
              <w:t>th</w:t>
            </w:r>
            <w:r>
              <w:t xml:space="preserve">ere is a survey by the admissions department to assess </w:t>
            </w:r>
            <w:r w:rsidR="00F64342">
              <w:t>student</w:t>
            </w:r>
            <w:r>
              <w:t xml:space="preserve"> enrolment.</w:t>
            </w:r>
            <w:r w:rsidR="000E14D9">
              <w:t xml:space="preserve"> </w:t>
            </w:r>
            <w:r w:rsidR="009A596A">
              <w:t xml:space="preserve">In that sense, monitoring outcomes </w:t>
            </w:r>
            <w:r w:rsidR="00F64342">
              <w:t>from the</w:t>
            </w:r>
            <w:r w:rsidR="009A596A">
              <w:t xml:space="preserve"> changes is</w:t>
            </w:r>
            <w:r w:rsidR="000E14D9">
              <w:t xml:space="preserve"> out of our hands effectively </w:t>
            </w:r>
            <w:r w:rsidR="009A596A">
              <w:t xml:space="preserve">as the surveys are done on a university level. </w:t>
            </w:r>
            <w:r w:rsidR="00F64342">
              <w:t xml:space="preserve">However, we are evaluating how it is received by our faculty staff members. </w:t>
            </w:r>
            <w:r w:rsidR="00F64342" w:rsidRPr="00CB2060">
              <w:t>Eventually we would like to see our own systems so that our faculty interactions can actually be monitored and we can be proactive rather than reactive.</w:t>
            </w:r>
          </w:p>
          <w:p w:rsidR="00AD3918" w:rsidRPr="0036701F" w:rsidRDefault="00F64342" w:rsidP="00562FFF">
            <w:r>
              <w:t>Metrics we use</w:t>
            </w:r>
            <w:r w:rsidR="003720B8">
              <w:t xml:space="preserve"> are m</w:t>
            </w:r>
            <w:r w:rsidR="00AD3918">
              <w:t>ainly in terms of applicant numbers</w:t>
            </w:r>
            <w:r>
              <w:t>, i.e.</w:t>
            </w:r>
            <w:r w:rsidR="00AD3918">
              <w:t xml:space="preserve"> how many people are applying </w:t>
            </w:r>
            <w:r>
              <w:t>compared</w:t>
            </w:r>
            <w:r w:rsidR="00AD3918">
              <w:t xml:space="preserve"> to last year</w:t>
            </w:r>
            <w:r>
              <w:t xml:space="preserve"> and</w:t>
            </w:r>
            <w:r w:rsidR="00AD3918">
              <w:t xml:space="preserve"> </w:t>
            </w:r>
            <w:r>
              <w:t xml:space="preserve">the number and time of our interactions with prospective students. This way, we can take action to </w:t>
            </w:r>
            <w:r w:rsidR="00AD3918">
              <w:t>enhance the conversion activity</w:t>
            </w:r>
            <w:r>
              <w:t xml:space="preserve"> by additional 'menu' of opportunities identified in the process review.</w:t>
            </w:r>
          </w:p>
        </w:tc>
      </w:tr>
      <w:tr w:rsidR="0096667D" w:rsidRPr="001E3EA7" w:rsidTr="001B2C51">
        <w:tc>
          <w:tcPr>
            <w:tcW w:w="2093" w:type="dxa"/>
            <w:vAlign w:val="center"/>
          </w:tcPr>
          <w:p w:rsidR="0096667D" w:rsidRPr="001E3EA7" w:rsidRDefault="0096667D" w:rsidP="005A3E3C">
            <w:pPr>
              <w:jc w:val="center"/>
              <w:rPr>
                <w:b/>
              </w:rPr>
            </w:pPr>
            <w:r w:rsidRPr="001E3EA7">
              <w:rPr>
                <w:b/>
              </w:rPr>
              <w:lastRenderedPageBreak/>
              <w:t>Unintended &amp; unexpected</w:t>
            </w:r>
          </w:p>
          <w:p w:rsidR="0096667D" w:rsidRPr="001E3EA7" w:rsidRDefault="0096667D" w:rsidP="001E3EA7"/>
        </w:tc>
        <w:tc>
          <w:tcPr>
            <w:tcW w:w="7796" w:type="dxa"/>
            <w:gridSpan w:val="3"/>
            <w:vAlign w:val="center"/>
          </w:tcPr>
          <w:p w:rsidR="00684A41" w:rsidRDefault="00684A41" w:rsidP="0095022A">
            <w:r>
              <w:t>One of the biggest realisations was that the numbers of applicant communications was actually quite appropriate as that was something we really wanted to make sure of. The process review revealed that actually we m</w:t>
            </w:r>
            <w:r w:rsidR="00AD3918">
              <w:t>ay</w:t>
            </w:r>
            <w:r>
              <w:t xml:space="preserve"> </w:t>
            </w:r>
            <w:r w:rsidR="00AD3918">
              <w:t xml:space="preserve">be doing the best we can do with conversion across </w:t>
            </w:r>
            <w:r>
              <w:t>the board, which was excellent to see. W</w:t>
            </w:r>
            <w:r w:rsidR="00AD3918">
              <w:t xml:space="preserve">e found ways how we could share information </w:t>
            </w:r>
            <w:r>
              <w:t>in</w:t>
            </w:r>
            <w:r w:rsidR="00AD3918">
              <w:t xml:space="preserve"> the ways we communicate with applicant, </w:t>
            </w:r>
            <w:r>
              <w:t>and produce a c</w:t>
            </w:r>
            <w:r w:rsidR="00AD3918">
              <w:t>ommunication</w:t>
            </w:r>
            <w:r>
              <w:t>s</w:t>
            </w:r>
            <w:r w:rsidR="00AD3918">
              <w:t xml:space="preserve"> </w:t>
            </w:r>
            <w:r>
              <w:t>m</w:t>
            </w:r>
            <w:r w:rsidR="00AD3918">
              <w:t>enu</w:t>
            </w:r>
            <w:r>
              <w:t xml:space="preserve"> of</w:t>
            </w:r>
            <w:r w:rsidR="00AD3918">
              <w:t xml:space="preserve"> ideas </w:t>
            </w:r>
            <w:r>
              <w:t>and tool</w:t>
            </w:r>
            <w:r w:rsidR="00AD3918">
              <w:t xml:space="preserve">s </w:t>
            </w:r>
            <w:r>
              <w:t>to wrap around the basic standard process</w:t>
            </w:r>
            <w:r w:rsidR="00AD3918">
              <w:t>.</w:t>
            </w:r>
            <w:r w:rsidR="0035189C">
              <w:t xml:space="preserve"> </w:t>
            </w:r>
          </w:p>
          <w:p w:rsidR="0096667D" w:rsidRPr="00684A41" w:rsidRDefault="00684A41" w:rsidP="0095022A">
            <w:r>
              <w:t>The idea of introducing</w:t>
            </w:r>
            <w:r w:rsidR="00AD3918">
              <w:t xml:space="preserve"> a customer relationship management database </w:t>
            </w:r>
            <w:r>
              <w:t>came out of discussions of what we need to know, as we felt this would</w:t>
            </w:r>
            <w:r w:rsidR="00AD3918">
              <w:t xml:space="preserve"> make interactions with a</w:t>
            </w:r>
            <w:r>
              <w:t xml:space="preserve">pplicants </w:t>
            </w:r>
            <w:r w:rsidRPr="00684A41">
              <w:t>much easier to monitor and manage.</w:t>
            </w:r>
          </w:p>
          <w:p w:rsidR="000F093B" w:rsidRPr="00B71C61" w:rsidRDefault="00684A41" w:rsidP="00684A41">
            <w:r w:rsidRPr="00684A41">
              <w:t>The</w:t>
            </w:r>
            <w:r w:rsidR="000F093B" w:rsidRPr="00684A41">
              <w:t xml:space="preserve"> Lucid chart</w:t>
            </w:r>
            <w:r w:rsidRPr="00684A41">
              <w:t xml:space="preserve"> software turned out to be</w:t>
            </w:r>
            <w:r w:rsidR="000F093B" w:rsidRPr="00684A41">
              <w:t xml:space="preserve"> a really great tool </w:t>
            </w:r>
            <w:r w:rsidRPr="00684A41">
              <w:t>and very straightforward to use. It's being</w:t>
            </w:r>
            <w:r w:rsidR="000F093B" w:rsidRPr="00684A41">
              <w:t xml:space="preserve"> used it for a few other things </w:t>
            </w:r>
            <w:r w:rsidRPr="00684A41">
              <w:t xml:space="preserve">now as well. It's provides something visual and makes such a big difference; it can be a </w:t>
            </w:r>
            <w:r w:rsidR="000F093B" w:rsidRPr="00684A41">
              <w:t>much better way of explaining something</w:t>
            </w:r>
            <w:r w:rsidRPr="00684A41">
              <w:t xml:space="preserve"> rather than just having a list</w:t>
            </w:r>
            <w:r w:rsidR="000F093B" w:rsidRPr="00684A41">
              <w:t>.</w:t>
            </w:r>
          </w:p>
        </w:tc>
      </w:tr>
      <w:tr w:rsidR="0096667D" w:rsidRPr="00B10A59" w:rsidTr="001B2C51">
        <w:tc>
          <w:tcPr>
            <w:tcW w:w="2093" w:type="dxa"/>
            <w:vAlign w:val="center"/>
          </w:tcPr>
          <w:p w:rsidR="0096667D" w:rsidRPr="007C2CA0" w:rsidRDefault="0096667D" w:rsidP="007C2CA0">
            <w:pPr>
              <w:jc w:val="center"/>
              <w:rPr>
                <w:b/>
              </w:rPr>
            </w:pPr>
            <w:r w:rsidRPr="007C2CA0">
              <w:rPr>
                <w:b/>
              </w:rPr>
              <w:t>Longer term impact</w:t>
            </w:r>
            <w:r>
              <w:rPr>
                <w:b/>
              </w:rPr>
              <w:t xml:space="preserve"> indicators</w:t>
            </w:r>
          </w:p>
        </w:tc>
        <w:tc>
          <w:tcPr>
            <w:tcW w:w="7796" w:type="dxa"/>
            <w:gridSpan w:val="3"/>
            <w:vAlign w:val="center"/>
          </w:tcPr>
          <w:p w:rsidR="00EF1E5E" w:rsidRDefault="0063447F" w:rsidP="0063447F">
            <w:r>
              <w:t xml:space="preserve">Before the PPR, </w:t>
            </w:r>
            <w:r w:rsidR="00AD3918">
              <w:t xml:space="preserve">we were </w:t>
            </w:r>
            <w:r>
              <w:t xml:space="preserve">probably </w:t>
            </w:r>
            <w:r w:rsidR="00AD3918">
              <w:t xml:space="preserve">quite reactive and </w:t>
            </w:r>
            <w:r>
              <w:t>part of the impact of understanding more clearly</w:t>
            </w:r>
            <w:r w:rsidR="00AD3918">
              <w:t xml:space="preserve"> what we’re doing is right in terms of interactions </w:t>
            </w:r>
            <w:r>
              <w:t>is it allows us to</w:t>
            </w:r>
            <w:r w:rsidR="00AD3918">
              <w:t xml:space="preserve"> mov</w:t>
            </w:r>
            <w:r>
              <w:t>e</w:t>
            </w:r>
            <w:r w:rsidR="00AD3918">
              <w:t xml:space="preserve"> forward </w:t>
            </w:r>
            <w:r>
              <w:t>with introducing other</w:t>
            </w:r>
            <w:r w:rsidR="00AD3918">
              <w:t xml:space="preserve"> options available to us</w:t>
            </w:r>
            <w:r>
              <w:t>.</w:t>
            </w:r>
            <w:r>
              <w:rPr>
                <w:i/>
              </w:rPr>
              <w:t xml:space="preserve"> </w:t>
            </w:r>
            <w:r>
              <w:t>Looking now at customer relationship management (CRM) systems is</w:t>
            </w:r>
            <w:r w:rsidR="00EF1E5E">
              <w:t xml:space="preserve"> inform</w:t>
            </w:r>
            <w:r>
              <w:t>ing</w:t>
            </w:r>
            <w:r w:rsidR="00EF1E5E">
              <w:t xml:space="preserve"> University </w:t>
            </w:r>
            <w:r>
              <w:t>practice and policy so we monitor what is working well centrally and within faculties, as well as what didn't work</w:t>
            </w:r>
            <w:r w:rsidR="00487518">
              <w:t>. H</w:t>
            </w:r>
            <w:r>
              <w:t xml:space="preserve">aving better data </w:t>
            </w:r>
            <w:r w:rsidR="00487518">
              <w:t xml:space="preserve">management and communication means all those stakeholders with an interest or who it’s going to have an effect on can </w:t>
            </w:r>
            <w:r>
              <w:t>adjust things</w:t>
            </w:r>
            <w:r w:rsidR="00EF1E5E">
              <w:t xml:space="preserve"> </w:t>
            </w:r>
            <w:r w:rsidR="00487518">
              <w:t>at their</w:t>
            </w:r>
            <w:r w:rsidR="00EF1E5E">
              <w:t xml:space="preserve"> local level</w:t>
            </w:r>
            <w:r>
              <w:t>.</w:t>
            </w:r>
            <w:r w:rsidR="00487518">
              <w:t xml:space="preserve"> </w:t>
            </w:r>
          </w:p>
          <w:p w:rsidR="0096667D" w:rsidRPr="00B10A59" w:rsidRDefault="003D07FA" w:rsidP="003D07FA">
            <w:r>
              <w:t>One long term outcome is</w:t>
            </w:r>
            <w:r w:rsidR="00487518">
              <w:t xml:space="preserve"> </w:t>
            </w:r>
            <w:r>
              <w:t>the</w:t>
            </w:r>
            <w:r w:rsidR="00C2087C">
              <w:t xml:space="preserve"> </w:t>
            </w:r>
            <w:r w:rsidR="00C2087C" w:rsidRPr="00487518">
              <w:rPr>
                <w:i/>
              </w:rPr>
              <w:t>confidence</w:t>
            </w:r>
            <w:r w:rsidR="00C2087C">
              <w:t xml:space="preserve"> </w:t>
            </w:r>
            <w:r>
              <w:t xml:space="preserve">it created </w:t>
            </w:r>
            <w:r w:rsidR="00C2087C">
              <w:t>in the platform</w:t>
            </w:r>
            <w:r w:rsidR="007D0546">
              <w:t xml:space="preserve"> developed</w:t>
            </w:r>
            <w:r w:rsidR="00C2087C">
              <w:t xml:space="preserve">, because it is very rare for all </w:t>
            </w:r>
            <w:r w:rsidR="00487518">
              <w:t>of us to be sitting in a room. Y</w:t>
            </w:r>
            <w:r w:rsidR="00C2087C">
              <w:t xml:space="preserve">ou can’t just bounce around an email </w:t>
            </w:r>
            <w:r w:rsidR="00487518">
              <w:t>as</w:t>
            </w:r>
            <w:r w:rsidR="00C2087C">
              <w:t xml:space="preserve"> it’s really difficult </w:t>
            </w:r>
            <w:r w:rsidR="00487518">
              <w:t>to get the heart of any concerns. A participative workshop has proved</w:t>
            </w:r>
            <w:r w:rsidR="00C2087C">
              <w:t xml:space="preserve"> much more constructive</w:t>
            </w:r>
            <w:r w:rsidR="00487518">
              <w:t xml:space="preserve"> than </w:t>
            </w:r>
            <w:r w:rsidR="00C2087C">
              <w:t>meeting</w:t>
            </w:r>
            <w:r w:rsidR="00487518">
              <w:t>s,</w:t>
            </w:r>
            <w:r w:rsidR="00C2087C">
              <w:t xml:space="preserve"> because it actually give you a proper focus, </w:t>
            </w:r>
            <w:r w:rsidR="00487518">
              <w:t>discussion and collective agreements. Since in the PPR, you surface the assumptions and disconnects, duplication and overlaps from mapping a process out fully, decision making is much more grounded and evidence based than team meetings in the past.</w:t>
            </w:r>
          </w:p>
        </w:tc>
      </w:tr>
      <w:tr w:rsidR="0096667D" w:rsidRPr="00F666DE" w:rsidTr="004A501E">
        <w:tc>
          <w:tcPr>
            <w:tcW w:w="9889" w:type="dxa"/>
            <w:gridSpan w:val="4"/>
            <w:shd w:val="clear" w:color="auto" w:fill="EAF1DD" w:themeFill="accent3" w:themeFillTint="33"/>
          </w:tcPr>
          <w:p w:rsidR="0096667D" w:rsidRPr="00F666DE" w:rsidRDefault="0096667D" w:rsidP="001E3EA7">
            <w:pPr>
              <w:pStyle w:val="Heading2"/>
              <w:outlineLvl w:val="1"/>
            </w:pPr>
            <w:r w:rsidRPr="00F666DE">
              <w:t>Lessons learned - what experience has been gained?</w:t>
            </w:r>
          </w:p>
        </w:tc>
      </w:tr>
      <w:tr w:rsidR="0096667D" w:rsidRPr="00B10A59" w:rsidTr="001B2C51">
        <w:tc>
          <w:tcPr>
            <w:tcW w:w="2093" w:type="dxa"/>
            <w:vAlign w:val="center"/>
          </w:tcPr>
          <w:p w:rsidR="0096667D" w:rsidRPr="007C2CA0" w:rsidRDefault="0096667D" w:rsidP="007C2CA0">
            <w:pPr>
              <w:jc w:val="center"/>
              <w:rPr>
                <w:b/>
              </w:rPr>
            </w:pPr>
            <w:r w:rsidRPr="007C2CA0">
              <w:rPr>
                <w:b/>
              </w:rPr>
              <w:t>Prior experience</w:t>
            </w:r>
          </w:p>
        </w:tc>
        <w:tc>
          <w:tcPr>
            <w:tcW w:w="7796" w:type="dxa"/>
            <w:gridSpan w:val="3"/>
            <w:vAlign w:val="center"/>
          </w:tcPr>
          <w:p w:rsidR="0096667D" w:rsidRPr="00B10A59" w:rsidRDefault="006378DF" w:rsidP="00035202">
            <w:r>
              <w:t>No prior experience, at least nothing structured.</w:t>
            </w:r>
            <w:r w:rsidR="00C012C9">
              <w:t xml:space="preserve"> We did </w:t>
            </w:r>
            <w:r w:rsidR="00035202">
              <w:t>other process reviews</w:t>
            </w:r>
            <w:r w:rsidR="00C012C9">
              <w:t xml:space="preserve"> </w:t>
            </w:r>
            <w:r w:rsidR="00035202">
              <w:t xml:space="preserve">previously and we could have done it </w:t>
            </w:r>
            <w:r w:rsidR="00C012C9">
              <w:t xml:space="preserve">better </w:t>
            </w:r>
            <w:r w:rsidR="00035202">
              <w:t>using</w:t>
            </w:r>
            <w:r w:rsidR="00C012C9">
              <w:t xml:space="preserve"> </w:t>
            </w:r>
            <w:r w:rsidR="00035202">
              <w:t>a</w:t>
            </w:r>
            <w:r w:rsidR="00C012C9">
              <w:t xml:space="preserve"> participative </w:t>
            </w:r>
            <w:r w:rsidR="00035202">
              <w:t>approach, which seems a</w:t>
            </w:r>
            <w:r w:rsidR="00C012C9">
              <w:t xml:space="preserve"> better way of clarifying the processing and get</w:t>
            </w:r>
            <w:r w:rsidR="00035202">
              <w:t>ting a clear map at the end of the session.</w:t>
            </w:r>
          </w:p>
        </w:tc>
      </w:tr>
      <w:tr w:rsidR="0096667D" w:rsidRPr="00B10A59" w:rsidTr="001B2C51">
        <w:tc>
          <w:tcPr>
            <w:tcW w:w="2093" w:type="dxa"/>
            <w:vAlign w:val="center"/>
          </w:tcPr>
          <w:p w:rsidR="0096667D" w:rsidRPr="007C2CA0" w:rsidRDefault="0096667D" w:rsidP="007C2CA0">
            <w:pPr>
              <w:jc w:val="center"/>
              <w:rPr>
                <w:b/>
              </w:rPr>
            </w:pPr>
            <w:r w:rsidRPr="007C2CA0">
              <w:rPr>
                <w:b/>
              </w:rPr>
              <w:t>Participative experience</w:t>
            </w:r>
          </w:p>
          <w:p w:rsidR="0096667D" w:rsidRPr="00B10A59" w:rsidRDefault="0096667D" w:rsidP="00B10A59"/>
        </w:tc>
        <w:tc>
          <w:tcPr>
            <w:tcW w:w="7796" w:type="dxa"/>
            <w:gridSpan w:val="3"/>
            <w:vAlign w:val="center"/>
          </w:tcPr>
          <w:p w:rsidR="007C46D0" w:rsidRDefault="007C46D0" w:rsidP="008B1070">
            <w:r>
              <w:lastRenderedPageBreak/>
              <w:t xml:space="preserve">Being able to go through a participative process review first with external guidance </w:t>
            </w:r>
            <w:r w:rsidR="008B1070">
              <w:t>has been brilliant,</w:t>
            </w:r>
            <w:r>
              <w:t xml:space="preserve"> </w:t>
            </w:r>
            <w:r w:rsidR="008B1070">
              <w:t xml:space="preserve">because sometimes if you </w:t>
            </w:r>
            <w:r>
              <w:t>do not have</w:t>
            </w:r>
            <w:r w:rsidR="008B1070">
              <w:t xml:space="preserve"> much project management experience,</w:t>
            </w:r>
            <w:r>
              <w:t xml:space="preserve"> it's difficult to </w:t>
            </w:r>
            <w:r w:rsidR="008B1070">
              <w:t>know where to start</w:t>
            </w:r>
            <w:r>
              <w:t xml:space="preserve">. The terms of reference formalises the activity and gives </w:t>
            </w:r>
            <w:r>
              <w:lastRenderedPageBreak/>
              <w:t xml:space="preserve">everyone a much better understanding of what they are coming along to talk about, what are the aims. It also makes you consider who are the parties involved, which is not something everybody naturally does. Likewise, </w:t>
            </w:r>
            <w:r w:rsidR="008B1070">
              <w:t>everybody knows how to do</w:t>
            </w:r>
            <w:r>
              <w:t xml:space="preserve"> a SWOT, but it often is not applied to process review. </w:t>
            </w:r>
          </w:p>
          <w:p w:rsidR="003B75D9" w:rsidRDefault="007C46D0" w:rsidP="003B75D9">
            <w:r>
              <w:t>Overall, our experience is that PPR is a much better approach for mapping out processes that involve people from all across the university. It makes everybody feels included and actually people enjoy it.</w:t>
            </w:r>
            <w:r w:rsidR="0055246B">
              <w:t xml:space="preserve"> </w:t>
            </w:r>
            <w:r w:rsidR="003B75D9">
              <w:t xml:space="preserve">Mapping the process was unproblematic as we had a good range of people in the workshop. We achieved a general overview from the admissions team who could tell us the timeline of students, the applicant cycle and we have a number of people from the faculty who shared what they do in terms of conversion, so there weren't really any difficulties. </w:t>
            </w:r>
          </w:p>
          <w:p w:rsidR="003B75D9" w:rsidRPr="00040E8A" w:rsidRDefault="003B75D9" w:rsidP="003B75D9">
            <w:r>
              <w:t>However, it was crucial to keep a clear focus, as some activities discussed were pre-offer not post-offer, which would have widened the scope of the project in hand and slowed down change. Because of all enrolment is managed by the admissions department centrally with clear policies each faculty have to follow, more representatives from the admissions department would have been helpful. We needed a more definitive sense of their activities (what and where to put the post-its on our timeline) such that their plans ripple into ours. We'd stick it down and it kept getting shifted around.</w:t>
            </w:r>
          </w:p>
        </w:tc>
      </w:tr>
      <w:tr w:rsidR="0096667D" w:rsidRPr="00B10A59" w:rsidTr="001B2C51">
        <w:tc>
          <w:tcPr>
            <w:tcW w:w="2093" w:type="dxa"/>
            <w:vAlign w:val="center"/>
          </w:tcPr>
          <w:p w:rsidR="0096667D" w:rsidRPr="007C2CA0" w:rsidRDefault="0096667D" w:rsidP="004D03C2">
            <w:pPr>
              <w:jc w:val="center"/>
              <w:rPr>
                <w:b/>
              </w:rPr>
            </w:pPr>
            <w:r>
              <w:rPr>
                <w:b/>
              </w:rPr>
              <w:lastRenderedPageBreak/>
              <w:t>Personal skills / application to other processes</w:t>
            </w:r>
          </w:p>
        </w:tc>
        <w:tc>
          <w:tcPr>
            <w:tcW w:w="7796" w:type="dxa"/>
            <w:gridSpan w:val="3"/>
            <w:vAlign w:val="center"/>
          </w:tcPr>
          <w:p w:rsidR="0096667D" w:rsidRPr="00B03433" w:rsidRDefault="00B03433" w:rsidP="002B2A68">
            <w:pPr>
              <w:rPr>
                <w:i/>
              </w:rPr>
            </w:pPr>
            <w:r>
              <w:t xml:space="preserve">With post-offer conversion, we picked something we felt was well suited for the review in terms of (1) there is an applicant cycle, (2) there is a timeline, which made it easier, so in applying it to other process, it depends what you use the review for.  </w:t>
            </w:r>
          </w:p>
          <w:p w:rsidR="002B2A68" w:rsidRDefault="00B03433" w:rsidP="002B2A68">
            <w:r>
              <w:t>P</w:t>
            </w:r>
            <w:r w:rsidR="00F51DC7">
              <w:t>ersonally</w:t>
            </w:r>
            <w:r>
              <w:t xml:space="preserve">, the workshop was a really good experience, as I've never really facilitated something like that before. </w:t>
            </w:r>
            <w:r w:rsidR="002B2A68">
              <w:t>The project management background, context and guidance to PPR is useful the first time. We have looked at quite a few now as we’ve done this for three different areas and I’ve actually been involved in a fourth area across the university. We all realise how good a method PPR is for clarifying a process.</w:t>
            </w:r>
          </w:p>
          <w:p w:rsidR="002B2A68" w:rsidRPr="00B03433" w:rsidRDefault="002B2A68" w:rsidP="002B2A68">
            <w:pPr>
              <w:rPr>
                <w:i/>
              </w:rPr>
            </w:pPr>
            <w:r w:rsidRPr="00B03433">
              <w:rPr>
                <w:i/>
              </w:rPr>
              <w:t xml:space="preserve">"I’ve used it in a lot of other places in my work and </w:t>
            </w:r>
            <w:r>
              <w:rPr>
                <w:i/>
              </w:rPr>
              <w:t xml:space="preserve">see </w:t>
            </w:r>
            <w:r w:rsidRPr="00B03433">
              <w:rPr>
                <w:i/>
              </w:rPr>
              <w:t xml:space="preserve">just how straightforward it is, get it right, get it all mapped out and working, it’s a great tool to clarify processes and improvements." </w:t>
            </w:r>
          </w:p>
          <w:p w:rsidR="00F51DC7" w:rsidRDefault="002B2A68" w:rsidP="003C16F8">
            <w:r>
              <w:t>T</w:t>
            </w:r>
            <w:r w:rsidR="00B03433">
              <w:t>he</w:t>
            </w:r>
            <w:r w:rsidR="00F51DC7">
              <w:t xml:space="preserve"> more </w:t>
            </w:r>
            <w:r>
              <w:t>process reviews</w:t>
            </w:r>
            <w:r w:rsidR="00B03433">
              <w:t xml:space="preserve"> </w:t>
            </w:r>
            <w:r w:rsidR="00F51DC7">
              <w:t>I’m doing</w:t>
            </w:r>
            <w:r w:rsidR="00B03433">
              <w:t>,</w:t>
            </w:r>
            <w:r w:rsidR="00F51DC7">
              <w:t xml:space="preserve"> the more I’m learning about how to manage people and what it actually means to be </w:t>
            </w:r>
            <w:r w:rsidR="00B03433">
              <w:t xml:space="preserve">in that facilitating role. For instance, I'd </w:t>
            </w:r>
            <w:r w:rsidR="00F51DC7">
              <w:t>never written a terms of reference, never written a</w:t>
            </w:r>
            <w:r w:rsidR="00B03433">
              <w:t>n implementation</w:t>
            </w:r>
            <w:r w:rsidR="00F51DC7">
              <w:t xml:space="preserve"> report like this</w:t>
            </w:r>
            <w:r w:rsidR="00B03433">
              <w:t>,</w:t>
            </w:r>
            <w:r w:rsidR="00F51DC7">
              <w:t xml:space="preserve"> so f</w:t>
            </w:r>
            <w:r w:rsidR="00B03433">
              <w:t>or</w:t>
            </w:r>
            <w:r w:rsidR="00F51DC7">
              <w:t xml:space="preserve"> me it's been great</w:t>
            </w:r>
            <w:r w:rsidR="00B03433">
              <w:t>,</w:t>
            </w:r>
            <w:r w:rsidR="00F51DC7">
              <w:t xml:space="preserve"> because I am developing the skills and hopefully getting better</w:t>
            </w:r>
            <w:r w:rsidR="00B03433">
              <w:t>.</w:t>
            </w:r>
            <w:r w:rsidR="00F51DC7">
              <w:t xml:space="preserve"> </w:t>
            </w:r>
            <w:r>
              <w:t xml:space="preserve">There were a lot of people at the first one I facilitated so it was quite difficult to make sure everybody is quite involved, everybody had a say and people weren’t going off on a tangent and going into little groups kind of keeping everybody on task. </w:t>
            </w:r>
            <w:r w:rsidR="00B03433">
              <w:t>It's</w:t>
            </w:r>
            <w:r w:rsidR="00F51DC7">
              <w:t xml:space="preserve"> really good as well</w:t>
            </w:r>
            <w:r w:rsidR="00B03433">
              <w:t xml:space="preserve">, because </w:t>
            </w:r>
            <w:r w:rsidR="00F51DC7">
              <w:t>the team feel more involved, that’s always good for me when I feel they’re making really good contribution to</w:t>
            </w:r>
            <w:r w:rsidR="00B03433">
              <w:rPr>
                <w:b/>
              </w:rPr>
              <w:t xml:space="preserve"> </w:t>
            </w:r>
            <w:r w:rsidR="00F51DC7">
              <w:t>something and actually the meeting isn't a waste of time</w:t>
            </w:r>
            <w:r w:rsidR="00B03433">
              <w:t>.</w:t>
            </w:r>
          </w:p>
          <w:p w:rsidR="00250D1C" w:rsidRDefault="00250D1C" w:rsidP="008B1070">
            <w:r>
              <w:t xml:space="preserve">We ran a PPR on student induction, which we found was too large an area and we needed to break it down in another workshop, so we did student induction and enrolment as two separate reviews. What we should have done is have one group working on one part and then swap it over and try to join it together. </w:t>
            </w:r>
          </w:p>
          <w:p w:rsidR="008B1070" w:rsidRPr="00D45D85" w:rsidRDefault="002B2A68" w:rsidP="008B1070">
            <w:r>
              <w:t>There are many other processes we would want to do PPR for once</w:t>
            </w:r>
            <w:r w:rsidR="008B1070">
              <w:t xml:space="preserve"> we finalize </w:t>
            </w:r>
            <w:r>
              <w:t>and review these first ones. For example,</w:t>
            </w:r>
            <w:r w:rsidR="008B1070">
              <w:t xml:space="preserve"> prizes at graduations</w:t>
            </w:r>
            <w:r>
              <w:t xml:space="preserve"> is one w</w:t>
            </w:r>
            <w:r w:rsidR="008B1070">
              <w:t>e need to look at that because</w:t>
            </w:r>
            <w:r>
              <w:t>,</w:t>
            </w:r>
            <w:r w:rsidR="008B1070">
              <w:t xml:space="preserve"> </w:t>
            </w:r>
            <w:r>
              <w:t>like with post-offer conversion,</w:t>
            </w:r>
            <w:r w:rsidR="008B1070">
              <w:t xml:space="preserve"> there</w:t>
            </w:r>
            <w:r>
              <w:t xml:space="preserve"> is a lot of different practice and the team feel it can</w:t>
            </w:r>
            <w:r w:rsidR="008B1070">
              <w:t xml:space="preserve"> get complicated</w:t>
            </w:r>
            <w:r>
              <w:t>. T</w:t>
            </w:r>
            <w:r w:rsidR="008B1070">
              <w:t xml:space="preserve">here are </w:t>
            </w:r>
            <w:r>
              <w:t>other variations within the faculty</w:t>
            </w:r>
            <w:r w:rsidR="008B1070">
              <w:t xml:space="preserve"> like what </w:t>
            </w:r>
            <w:r>
              <w:t>departments</w:t>
            </w:r>
            <w:r w:rsidR="008B1070">
              <w:t xml:space="preserve"> do at examination committees,</w:t>
            </w:r>
            <w:r w:rsidR="000F093B">
              <w:t xml:space="preserve"> </w:t>
            </w:r>
            <w:r w:rsidR="008B1070">
              <w:t>what we do in terms of students asking for time</w:t>
            </w:r>
            <w:r w:rsidR="000F093B">
              <w:t xml:space="preserve"> </w:t>
            </w:r>
            <w:r w:rsidR="008B1070">
              <w:t>out</w:t>
            </w:r>
            <w:r>
              <w:t>.</w:t>
            </w:r>
            <w:r w:rsidR="008B1070">
              <w:t xml:space="preserve"> </w:t>
            </w:r>
          </w:p>
        </w:tc>
      </w:tr>
      <w:tr w:rsidR="0096667D" w:rsidRPr="00B10A59" w:rsidTr="001B2C51">
        <w:tc>
          <w:tcPr>
            <w:tcW w:w="2093" w:type="dxa"/>
            <w:vAlign w:val="center"/>
          </w:tcPr>
          <w:p w:rsidR="0096667D" w:rsidRPr="007C2CA0" w:rsidRDefault="0096667D" w:rsidP="004D03C2">
            <w:pPr>
              <w:jc w:val="center"/>
              <w:rPr>
                <w:b/>
              </w:rPr>
            </w:pPr>
            <w:r>
              <w:rPr>
                <w:b/>
              </w:rPr>
              <w:t>Success tips</w:t>
            </w:r>
          </w:p>
        </w:tc>
        <w:tc>
          <w:tcPr>
            <w:tcW w:w="7796" w:type="dxa"/>
            <w:gridSpan w:val="3"/>
            <w:vAlign w:val="center"/>
          </w:tcPr>
          <w:p w:rsidR="00250D1C" w:rsidRDefault="00F92B47" w:rsidP="007C0DB8">
            <w:pPr>
              <w:pStyle w:val="ListParagraph"/>
              <w:numPr>
                <w:ilvl w:val="0"/>
                <w:numId w:val="29"/>
              </w:numPr>
              <w:ind w:left="357" w:hanging="357"/>
              <w:contextualSpacing w:val="0"/>
            </w:pPr>
            <w:r>
              <w:t xml:space="preserve">Some processes suit a PPR better than others. Those that are more free range where you have a structured timeline are straightforward, but with </w:t>
            </w:r>
            <w:r w:rsidR="00130C65">
              <w:t>some you are starting from</w:t>
            </w:r>
            <w:r>
              <w:t xml:space="preserve"> nothing and </w:t>
            </w:r>
            <w:r w:rsidR="00130C65">
              <w:t>do</w:t>
            </w:r>
            <w:r>
              <w:t xml:space="preserve">n't have anything to base </w:t>
            </w:r>
            <w:r w:rsidR="00130C65">
              <w:t>a</w:t>
            </w:r>
            <w:r>
              <w:t xml:space="preserve"> map on initially. </w:t>
            </w:r>
            <w:r w:rsidR="00130C65">
              <w:t>For example, our</w:t>
            </w:r>
            <w:r>
              <w:t xml:space="preserve"> post-offer conversion</w:t>
            </w:r>
            <w:r w:rsidRPr="007C46D0">
              <w:t xml:space="preserve"> </w:t>
            </w:r>
            <w:r>
              <w:t>process was completed in a single workshop, while others took a second</w:t>
            </w:r>
            <w:r w:rsidRPr="007C46D0">
              <w:t xml:space="preserve"> workshop</w:t>
            </w:r>
            <w:r>
              <w:t xml:space="preserve"> or further meetings </w:t>
            </w:r>
            <w:r w:rsidRPr="007C46D0">
              <w:t xml:space="preserve">to finalise the </w:t>
            </w:r>
            <w:r>
              <w:t xml:space="preserve">new </w:t>
            </w:r>
            <w:r w:rsidRPr="007C46D0">
              <w:t>process</w:t>
            </w:r>
            <w:r>
              <w:t xml:space="preserve">. </w:t>
            </w:r>
            <w:r w:rsidR="00250D1C">
              <w:t>A process review on staff induction</w:t>
            </w:r>
            <w:r w:rsidR="00250D1C" w:rsidRPr="007C46D0">
              <w:t xml:space="preserve"> </w:t>
            </w:r>
            <w:r w:rsidR="00250D1C">
              <w:t xml:space="preserve">did not really work well as a PPR, perhaps because the set of people involved were </w:t>
            </w:r>
            <w:r w:rsidR="00250D1C" w:rsidRPr="007C46D0">
              <w:t xml:space="preserve">more opinionated </w:t>
            </w:r>
            <w:r w:rsidR="00250D1C">
              <w:t xml:space="preserve">and not the right mix in terms of how long they had been at the University. We </w:t>
            </w:r>
            <w:r w:rsidR="00250D1C">
              <w:lastRenderedPageBreak/>
              <w:t>needed more input from new people who had been here perhaps just a year.</w:t>
            </w:r>
          </w:p>
          <w:p w:rsidR="00F92B47" w:rsidRDefault="00250D1C" w:rsidP="007C0DB8">
            <w:pPr>
              <w:pStyle w:val="ListParagraph"/>
              <w:numPr>
                <w:ilvl w:val="0"/>
                <w:numId w:val="29"/>
              </w:numPr>
              <w:ind w:left="357" w:hanging="357"/>
              <w:contextualSpacing w:val="0"/>
            </w:pPr>
            <w:r>
              <w:t xml:space="preserve">Some processes are too large and need splitting, whilst staying mindful of the transition between the two. For example, in our case </w:t>
            </w:r>
            <w:r w:rsidRPr="00B03433">
              <w:t>conversion</w:t>
            </w:r>
            <w:r>
              <w:t>,</w:t>
            </w:r>
            <w:r w:rsidRPr="00B03433">
              <w:t xml:space="preserve"> enrolment </w:t>
            </w:r>
            <w:r>
              <w:t>and</w:t>
            </w:r>
            <w:r w:rsidRPr="00B03433">
              <w:t xml:space="preserve"> induction dovetail each other </w:t>
            </w:r>
            <w:r>
              <w:t>in the '</w:t>
            </w:r>
            <w:r w:rsidRPr="00B03433">
              <w:t>student journey</w:t>
            </w:r>
            <w:r>
              <w:t>'</w:t>
            </w:r>
            <w:r w:rsidRPr="00B03433">
              <w:t xml:space="preserve"> and you need to be </w:t>
            </w:r>
            <w:r>
              <w:t>careful</w:t>
            </w:r>
            <w:r w:rsidRPr="00B03433">
              <w:t xml:space="preserve"> about separating them out. Where you draw the line could actually create a problem if the line itself is the area of stickiness.</w:t>
            </w:r>
            <w:r>
              <w:t xml:space="preserve"> </w:t>
            </w:r>
          </w:p>
          <w:p w:rsidR="00D7500C" w:rsidRPr="00DC69B7" w:rsidRDefault="00B03433" w:rsidP="007C0DB8">
            <w:pPr>
              <w:pStyle w:val="ListParagraph"/>
              <w:numPr>
                <w:ilvl w:val="0"/>
                <w:numId w:val="28"/>
              </w:numPr>
              <w:ind w:left="357" w:hanging="357"/>
              <w:contextualSpacing w:val="0"/>
            </w:pPr>
            <w:r w:rsidRPr="00DC69B7">
              <w:t xml:space="preserve">Group size is quite key; </w:t>
            </w:r>
            <w:r w:rsidR="0093653C" w:rsidRPr="00DC69B7">
              <w:t xml:space="preserve">it’s a balance between getting the full range of perspectives and facts and ideas and actually having a productive process. </w:t>
            </w:r>
            <w:r w:rsidR="00DC69B7" w:rsidRPr="00DC69B7">
              <w:t xml:space="preserve">It was </w:t>
            </w:r>
            <w:r w:rsidR="00D7500C" w:rsidRPr="00DC69B7">
              <w:t>important to keep reminding everyone of the goal</w:t>
            </w:r>
            <w:r w:rsidR="00DC69B7" w:rsidRPr="00DC69B7">
              <w:t>,</w:t>
            </w:r>
            <w:r w:rsidR="00D7500C" w:rsidRPr="00DC69B7">
              <w:t xml:space="preserve"> because people tempted to go off on a tangent a bit</w:t>
            </w:r>
            <w:r w:rsidR="00DC69B7" w:rsidRPr="00DC69B7">
              <w:t>. This is exacerbated if you</w:t>
            </w:r>
            <w:r w:rsidR="00D7500C" w:rsidRPr="00DC69B7">
              <w:t xml:space="preserve"> invite </w:t>
            </w:r>
            <w:r w:rsidR="00DC69B7" w:rsidRPr="00DC69B7">
              <w:t xml:space="preserve">too many people </w:t>
            </w:r>
            <w:r w:rsidR="00D7500C" w:rsidRPr="00DC69B7">
              <w:t xml:space="preserve">along </w:t>
            </w:r>
            <w:r w:rsidR="00DC69B7" w:rsidRPr="00DC69B7">
              <w:t>or if their role is more before or after the process under review, as much of the time they would just be</w:t>
            </w:r>
            <w:r w:rsidR="00D7500C" w:rsidRPr="00DC69B7">
              <w:t xml:space="preserve"> sitting around doing nothing</w:t>
            </w:r>
            <w:r w:rsidR="00DC69B7" w:rsidRPr="00DC69B7">
              <w:t>. When</w:t>
            </w:r>
            <w:r w:rsidR="00D7500C" w:rsidRPr="00DC69B7">
              <w:t xml:space="preserve"> it’s a smaller group you don't get as many perspectives</w:t>
            </w:r>
            <w:r w:rsidR="00DC69B7" w:rsidRPr="00DC69B7">
              <w:t>,</w:t>
            </w:r>
            <w:r w:rsidR="00D7500C" w:rsidRPr="00DC69B7">
              <w:t xml:space="preserve"> but you</w:t>
            </w:r>
            <w:r w:rsidR="00DC69B7" w:rsidRPr="00DC69B7">
              <w:t xml:space="preserve"> a</w:t>
            </w:r>
            <w:r w:rsidR="00D7500C" w:rsidRPr="00DC69B7">
              <w:t xml:space="preserve">re </w:t>
            </w:r>
            <w:r w:rsidR="00DC69B7" w:rsidRPr="00DC69B7">
              <w:t xml:space="preserve">better </w:t>
            </w:r>
            <w:r w:rsidR="00D7500C" w:rsidRPr="00DC69B7">
              <w:t xml:space="preserve">able to discuss and go through the process as a whole. </w:t>
            </w:r>
          </w:p>
          <w:p w:rsidR="0096667D" w:rsidRPr="00B10A59" w:rsidRDefault="00412C09" w:rsidP="00323963">
            <w:pPr>
              <w:pStyle w:val="ListParagraph"/>
              <w:numPr>
                <w:ilvl w:val="0"/>
                <w:numId w:val="26"/>
              </w:numPr>
              <w:ind w:left="357" w:hanging="357"/>
              <w:contextualSpacing w:val="0"/>
            </w:pPr>
            <w:r>
              <w:t xml:space="preserve">Reminding people </w:t>
            </w:r>
            <w:r w:rsidR="00440A4B">
              <w:t xml:space="preserve">of the outcomes/benefits </w:t>
            </w:r>
            <w:r>
              <w:t xml:space="preserve">is an inherent part of what makes this successful. It is great doing PPR </w:t>
            </w:r>
            <w:r w:rsidR="00AD3918">
              <w:t>at the time</w:t>
            </w:r>
            <w:r>
              <w:t>,</w:t>
            </w:r>
            <w:r w:rsidR="00AD3918">
              <w:t xml:space="preserve"> but people can forget quite easily </w:t>
            </w:r>
            <w:r>
              <w:t xml:space="preserve">and go back to entrenched habits and behaviours. </w:t>
            </w:r>
            <w:r w:rsidR="00440A4B">
              <w:t xml:space="preserve">It can tend to be the same kind of people who will get involved in a process review, engage with the outputs, while others who won’t see the value in it long-term. </w:t>
            </w:r>
            <w:r>
              <w:t xml:space="preserve">For example in our case, initially </w:t>
            </w:r>
            <w:r w:rsidR="00440A4B">
              <w:t>everyone</w:t>
            </w:r>
            <w:r>
              <w:t xml:space="preserve"> thought the conversion activity menu and best practice</w:t>
            </w:r>
            <w:r w:rsidR="00323963">
              <w:t xml:space="preserve"> documents was a brilliant idea, but actually in reality when people are busy, they may forget that these things are available to them.</w:t>
            </w:r>
            <w:r w:rsidR="00EF1E5E">
              <w:t xml:space="preserve"> </w:t>
            </w:r>
            <w:r w:rsidR="00323963">
              <w:t xml:space="preserve">If a department is struggling with applications, they should be able to look at what came out the workshop and use it to improve their conversions. </w:t>
            </w:r>
            <w:r w:rsidR="00440A4B">
              <w:t xml:space="preserve">Reflecting on what has been done/achieved, and just keeping your eye on the ball with it, </w:t>
            </w:r>
            <w:r w:rsidR="00250D1C">
              <w:t xml:space="preserve">is partly </w:t>
            </w:r>
            <w:r w:rsidR="00440A4B">
              <w:t>the team leader's</w:t>
            </w:r>
            <w:r w:rsidR="00EF1E5E">
              <w:t xml:space="preserve"> responsibility</w:t>
            </w:r>
            <w:r w:rsidR="00250D1C">
              <w:t>.</w:t>
            </w:r>
            <w:r w:rsidR="00440A4B">
              <w:t xml:space="preserve"> Impact is quite hard to evidence, because everything is such a large-scale. You need to break it down into particular areas and timeframes in order to find the right measurements for showing how to improve practice. </w:t>
            </w:r>
          </w:p>
        </w:tc>
      </w:tr>
    </w:tbl>
    <w:p w:rsidR="00C10B2D" w:rsidRPr="00B10A59" w:rsidRDefault="00C10B2D" w:rsidP="002B3FFD"/>
    <w:sectPr w:rsidR="00C10B2D" w:rsidRPr="00B10A59" w:rsidSect="009F2E2B">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D5E" w:rsidRDefault="00576D5E" w:rsidP="00D00D26">
      <w:pPr>
        <w:spacing w:before="0" w:after="0"/>
      </w:pPr>
      <w:r>
        <w:separator/>
      </w:r>
    </w:p>
  </w:endnote>
  <w:endnote w:type="continuationSeparator" w:id="1">
    <w:p w:rsidR="00576D5E" w:rsidRDefault="00576D5E" w:rsidP="00D00D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4B" w:rsidRDefault="007820F1" w:rsidP="00A66C37">
    <w:pPr>
      <w:pStyle w:val="Footer"/>
      <w:tabs>
        <w:tab w:val="clear" w:pos="9026"/>
        <w:tab w:val="right" w:pos="9639"/>
      </w:tabs>
      <w:rPr>
        <w:color w:val="31849B" w:themeColor="accent5" w:themeShade="BF"/>
        <w:sz w:val="20"/>
      </w:rPr>
    </w:pPr>
    <w:r>
      <w:rPr>
        <w:noProof/>
        <w:color w:val="31849B" w:themeColor="accent5" w:themeShade="BF"/>
        <w:sz w:val="20"/>
        <w:lang w:eastAsia="en-GB"/>
      </w:rPr>
      <w:pict>
        <v:shapetype id="_x0000_t32" coordsize="21600,21600" o:spt="32" o:oned="t" path="m,l21600,21600e" filled="f">
          <v:path arrowok="t" fillok="f" o:connecttype="none"/>
          <o:lock v:ext="edit" shapetype="t"/>
        </v:shapetype>
        <v:shape id="_x0000_s9217" type="#_x0000_t32" style="position:absolute;margin-left:.25pt;margin-top:7.75pt;width:489pt;height:.65pt;flip:y;z-index:251660288" o:connectortype="straight" strokecolor="#f2f2f2 [3041]" strokeweight="3pt">
          <v:shadow type="perspective" color="#205867 [1608]" opacity=".5" offset="1pt" offset2="-1pt"/>
        </v:shape>
      </w:pict>
    </w:r>
  </w:p>
  <w:p w:rsidR="00440A4B" w:rsidRDefault="00440A4B" w:rsidP="007A19DF">
    <w:pPr>
      <w:pStyle w:val="Footer"/>
      <w:tabs>
        <w:tab w:val="clear" w:pos="9026"/>
        <w:tab w:val="right" w:pos="9639"/>
      </w:tabs>
    </w:pPr>
    <w:r w:rsidRPr="00D00D26">
      <w:rPr>
        <w:color w:val="31849B" w:themeColor="accent5" w:themeShade="BF"/>
        <w:sz w:val="20"/>
      </w:rPr>
      <w:t>Oxford Brookes University OCSLD Leadership Foundation Project Evaluation of PPRs</w:t>
    </w:r>
    <w:r w:rsidRPr="00D00D26">
      <w:rPr>
        <w:color w:val="31849B" w:themeColor="accent5" w:themeShade="BF"/>
        <w:sz w:val="20"/>
      </w:rPr>
      <w:tab/>
    </w:r>
    <w:r w:rsidRPr="001E0541">
      <w:rPr>
        <w:b/>
        <w:color w:val="7F7F7F" w:themeColor="text1" w:themeTint="80"/>
        <w:szCs w:val="21"/>
      </w:rPr>
      <w:t xml:space="preserve">Case Study </w:t>
    </w:r>
    <w:r w:rsidR="008C3A6A">
      <w:rPr>
        <w:b/>
        <w:color w:val="7F7F7F" w:themeColor="text1" w:themeTint="80"/>
        <w:szCs w:val="21"/>
      </w:rPr>
      <w:t>7</w:t>
    </w:r>
    <w:r w:rsidRPr="001E0541">
      <w:rPr>
        <w:color w:val="7F7F7F" w:themeColor="text1" w:themeTint="80"/>
        <w:szCs w:val="21"/>
      </w:rPr>
      <w:t xml:space="preserve"> -</w:t>
    </w:r>
    <w:r w:rsidRPr="001E0541">
      <w:rPr>
        <w:sz w:val="28"/>
      </w:rPr>
      <w:t xml:space="preserve"> </w:t>
    </w:r>
    <w:r w:rsidRPr="00D00D26">
      <w:rPr>
        <w:color w:val="7F7F7F" w:themeColor="background1" w:themeShade="7F"/>
        <w:spacing w:val="60"/>
      </w:rPr>
      <w:t>Page</w:t>
    </w:r>
    <w:r w:rsidRPr="00D00D26">
      <w:t xml:space="preserve"> | </w:t>
    </w:r>
    <w:fldSimple w:instr=" PAGE   \* MERGEFORMAT ">
      <w:r w:rsidR="003D07FA" w:rsidRPr="003D07FA">
        <w:rPr>
          <w:b/>
          <w:noProof/>
        </w:rPr>
        <w:t>4</w:t>
      </w:r>
    </w:fldSimple>
  </w:p>
  <w:p w:rsidR="00440A4B" w:rsidRDefault="00440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D5E" w:rsidRDefault="00576D5E" w:rsidP="00D00D26">
      <w:pPr>
        <w:spacing w:before="0" w:after="0"/>
      </w:pPr>
      <w:r>
        <w:separator/>
      </w:r>
    </w:p>
  </w:footnote>
  <w:footnote w:type="continuationSeparator" w:id="1">
    <w:p w:rsidR="00576D5E" w:rsidRDefault="00576D5E" w:rsidP="00D00D2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BFD"/>
    <w:multiLevelType w:val="hybridMultilevel"/>
    <w:tmpl w:val="9014B7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43333"/>
    <w:multiLevelType w:val="hybridMultilevel"/>
    <w:tmpl w:val="C97A0842"/>
    <w:lvl w:ilvl="0" w:tplc="F04E88A2">
      <w:start w:val="1"/>
      <w:numFmt w:val="bullet"/>
      <w:lvlText w:val=""/>
      <w:lvlJc w:val="left"/>
      <w:pPr>
        <w:ind w:left="720" w:hanging="360"/>
      </w:pPr>
      <w:rPr>
        <w:rFonts w:ascii="Wingdings" w:hAnsi="Wingdings" w:hint="default"/>
      </w:rPr>
    </w:lvl>
    <w:lvl w:ilvl="1" w:tplc="47BC6B04">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737E5"/>
    <w:multiLevelType w:val="hybridMultilevel"/>
    <w:tmpl w:val="3CB08A4C"/>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DC2E7F"/>
    <w:multiLevelType w:val="hybridMultilevel"/>
    <w:tmpl w:val="D93666E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C3333C"/>
    <w:multiLevelType w:val="hybridMultilevel"/>
    <w:tmpl w:val="72FEE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5211B6"/>
    <w:multiLevelType w:val="hybridMultilevel"/>
    <w:tmpl w:val="3500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0534A"/>
    <w:multiLevelType w:val="hybridMultilevel"/>
    <w:tmpl w:val="16C8450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A8096E"/>
    <w:multiLevelType w:val="hybridMultilevel"/>
    <w:tmpl w:val="D3E8FBCE"/>
    <w:lvl w:ilvl="0" w:tplc="0809000B">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
    <w:nsid w:val="24BD1379"/>
    <w:multiLevelType w:val="hybridMultilevel"/>
    <w:tmpl w:val="9D7AD16A"/>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96742"/>
    <w:multiLevelType w:val="hybridMultilevel"/>
    <w:tmpl w:val="155CE8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0E17A8"/>
    <w:multiLevelType w:val="hybridMultilevel"/>
    <w:tmpl w:val="748ECFD2"/>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C0131C"/>
    <w:multiLevelType w:val="hybridMultilevel"/>
    <w:tmpl w:val="A30EF91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E20CBB"/>
    <w:multiLevelType w:val="hybridMultilevel"/>
    <w:tmpl w:val="3DCE8AFA"/>
    <w:lvl w:ilvl="0" w:tplc="47BC6B0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1445E7"/>
    <w:multiLevelType w:val="hybridMultilevel"/>
    <w:tmpl w:val="D104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40765F"/>
    <w:multiLevelType w:val="hybridMultilevel"/>
    <w:tmpl w:val="BADC2D76"/>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C336E4"/>
    <w:multiLevelType w:val="hybridMultilevel"/>
    <w:tmpl w:val="38EABE3E"/>
    <w:lvl w:ilvl="0" w:tplc="F04E88A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09454D"/>
    <w:multiLevelType w:val="hybridMultilevel"/>
    <w:tmpl w:val="A90A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A0F98"/>
    <w:multiLevelType w:val="hybridMultilevel"/>
    <w:tmpl w:val="BE904C7C"/>
    <w:lvl w:ilvl="0" w:tplc="160A010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1C5CC4"/>
    <w:multiLevelType w:val="hybridMultilevel"/>
    <w:tmpl w:val="1D7A50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FD26ED"/>
    <w:multiLevelType w:val="hybridMultilevel"/>
    <w:tmpl w:val="028271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D274C7"/>
    <w:multiLevelType w:val="hybridMultilevel"/>
    <w:tmpl w:val="88D4AE5A"/>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263667"/>
    <w:multiLevelType w:val="hybridMultilevel"/>
    <w:tmpl w:val="9C0034AE"/>
    <w:lvl w:ilvl="0" w:tplc="F04E88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E2334B"/>
    <w:multiLevelType w:val="hybridMultilevel"/>
    <w:tmpl w:val="AF9476A8"/>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E2E2FA6"/>
    <w:multiLevelType w:val="hybridMultilevel"/>
    <w:tmpl w:val="682A7A8C"/>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491932"/>
    <w:multiLevelType w:val="hybridMultilevel"/>
    <w:tmpl w:val="9648F7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74778C"/>
    <w:multiLevelType w:val="hybridMultilevel"/>
    <w:tmpl w:val="1F14A912"/>
    <w:lvl w:ilvl="0" w:tplc="47BC6B0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4AF3F00"/>
    <w:multiLevelType w:val="hybridMultilevel"/>
    <w:tmpl w:val="66064CB4"/>
    <w:lvl w:ilvl="0" w:tplc="47BC6B0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BD608B5"/>
    <w:multiLevelType w:val="hybridMultilevel"/>
    <w:tmpl w:val="B2482882"/>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FD1F8E"/>
    <w:multiLevelType w:val="hybridMultilevel"/>
    <w:tmpl w:val="5F444416"/>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1"/>
  </w:num>
  <w:num w:numId="4">
    <w:abstractNumId w:val="3"/>
  </w:num>
  <w:num w:numId="5">
    <w:abstractNumId w:val="13"/>
  </w:num>
  <w:num w:numId="6">
    <w:abstractNumId w:val="24"/>
  </w:num>
  <w:num w:numId="7">
    <w:abstractNumId w:val="5"/>
  </w:num>
  <w:num w:numId="8">
    <w:abstractNumId w:val="9"/>
  </w:num>
  <w:num w:numId="9">
    <w:abstractNumId w:val="2"/>
  </w:num>
  <w:num w:numId="10">
    <w:abstractNumId w:val="6"/>
  </w:num>
  <w:num w:numId="11">
    <w:abstractNumId w:val="22"/>
  </w:num>
  <w:num w:numId="12">
    <w:abstractNumId w:val="0"/>
  </w:num>
  <w:num w:numId="13">
    <w:abstractNumId w:val="16"/>
  </w:num>
  <w:num w:numId="14">
    <w:abstractNumId w:val="12"/>
  </w:num>
  <w:num w:numId="15">
    <w:abstractNumId w:val="26"/>
  </w:num>
  <w:num w:numId="16">
    <w:abstractNumId w:val="4"/>
  </w:num>
  <w:num w:numId="17">
    <w:abstractNumId w:val="15"/>
  </w:num>
  <w:num w:numId="18">
    <w:abstractNumId w:val="1"/>
  </w:num>
  <w:num w:numId="19">
    <w:abstractNumId w:val="25"/>
  </w:num>
  <w:num w:numId="20">
    <w:abstractNumId w:val="19"/>
  </w:num>
  <w:num w:numId="21">
    <w:abstractNumId w:val="20"/>
  </w:num>
  <w:num w:numId="22">
    <w:abstractNumId w:val="27"/>
  </w:num>
  <w:num w:numId="23">
    <w:abstractNumId w:val="28"/>
  </w:num>
  <w:num w:numId="24">
    <w:abstractNumId w:val="21"/>
  </w:num>
  <w:num w:numId="25">
    <w:abstractNumId w:val="10"/>
  </w:num>
  <w:num w:numId="26">
    <w:abstractNumId w:val="8"/>
  </w:num>
  <w:num w:numId="27">
    <w:abstractNumId w:val="7"/>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6386"/>
    <o:shapelayout v:ext="edit">
      <o:idmap v:ext="edit" data="9"/>
      <o:rules v:ext="edit">
        <o:r id="V:Rule2" type="connector" idref="#_x0000_s9217"/>
      </o:rules>
    </o:shapelayout>
  </w:hdrShapeDefaults>
  <w:footnotePr>
    <w:footnote w:id="0"/>
    <w:footnote w:id="1"/>
  </w:footnotePr>
  <w:endnotePr>
    <w:endnote w:id="0"/>
    <w:endnote w:id="1"/>
  </w:endnotePr>
  <w:compat/>
  <w:rsids>
    <w:rsidRoot w:val="00A437BF"/>
    <w:rsid w:val="000008E2"/>
    <w:rsid w:val="00001EB4"/>
    <w:rsid w:val="00006AC9"/>
    <w:rsid w:val="00013A85"/>
    <w:rsid w:val="00014663"/>
    <w:rsid w:val="0002496E"/>
    <w:rsid w:val="00024B9B"/>
    <w:rsid w:val="00032AAC"/>
    <w:rsid w:val="00034644"/>
    <w:rsid w:val="00035202"/>
    <w:rsid w:val="00040E8A"/>
    <w:rsid w:val="00061F6A"/>
    <w:rsid w:val="000626A1"/>
    <w:rsid w:val="000741AE"/>
    <w:rsid w:val="00076FD8"/>
    <w:rsid w:val="00077CBB"/>
    <w:rsid w:val="00077F0A"/>
    <w:rsid w:val="00081A69"/>
    <w:rsid w:val="00081D4D"/>
    <w:rsid w:val="000A653A"/>
    <w:rsid w:val="000A72EB"/>
    <w:rsid w:val="000B4EFA"/>
    <w:rsid w:val="000C0900"/>
    <w:rsid w:val="000C3B73"/>
    <w:rsid w:val="000D1F7B"/>
    <w:rsid w:val="000D6601"/>
    <w:rsid w:val="000D73E5"/>
    <w:rsid w:val="000E14D9"/>
    <w:rsid w:val="000E4A59"/>
    <w:rsid w:val="000F093B"/>
    <w:rsid w:val="000F3FBA"/>
    <w:rsid w:val="000F771E"/>
    <w:rsid w:val="00105075"/>
    <w:rsid w:val="00105E7C"/>
    <w:rsid w:val="0010680F"/>
    <w:rsid w:val="0011114B"/>
    <w:rsid w:val="0011265A"/>
    <w:rsid w:val="0011347B"/>
    <w:rsid w:val="00121B2F"/>
    <w:rsid w:val="00130C65"/>
    <w:rsid w:val="0013418E"/>
    <w:rsid w:val="001441FE"/>
    <w:rsid w:val="0015028C"/>
    <w:rsid w:val="001514FD"/>
    <w:rsid w:val="00151A45"/>
    <w:rsid w:val="00154644"/>
    <w:rsid w:val="001701D7"/>
    <w:rsid w:val="00185273"/>
    <w:rsid w:val="00196301"/>
    <w:rsid w:val="001A0868"/>
    <w:rsid w:val="001A5512"/>
    <w:rsid w:val="001B2C51"/>
    <w:rsid w:val="001C5EB1"/>
    <w:rsid w:val="001C676F"/>
    <w:rsid w:val="001C6AE9"/>
    <w:rsid w:val="001D29B7"/>
    <w:rsid w:val="001E0541"/>
    <w:rsid w:val="001E302E"/>
    <w:rsid w:val="001E3EA7"/>
    <w:rsid w:val="001E4FA6"/>
    <w:rsid w:val="001E69E7"/>
    <w:rsid w:val="001E71DF"/>
    <w:rsid w:val="001F57DD"/>
    <w:rsid w:val="00201982"/>
    <w:rsid w:val="00203A67"/>
    <w:rsid w:val="00204D49"/>
    <w:rsid w:val="002111D4"/>
    <w:rsid w:val="002159BE"/>
    <w:rsid w:val="00224286"/>
    <w:rsid w:val="002302AD"/>
    <w:rsid w:val="00233069"/>
    <w:rsid w:val="00233B5F"/>
    <w:rsid w:val="00243C27"/>
    <w:rsid w:val="00245DDE"/>
    <w:rsid w:val="00250B71"/>
    <w:rsid w:val="00250D1C"/>
    <w:rsid w:val="002702C0"/>
    <w:rsid w:val="00270F3E"/>
    <w:rsid w:val="002719CB"/>
    <w:rsid w:val="00273FA6"/>
    <w:rsid w:val="0028527A"/>
    <w:rsid w:val="00292952"/>
    <w:rsid w:val="002A676E"/>
    <w:rsid w:val="002B065E"/>
    <w:rsid w:val="002B2A68"/>
    <w:rsid w:val="002B30BA"/>
    <w:rsid w:val="002B3FFD"/>
    <w:rsid w:val="002C4F0D"/>
    <w:rsid w:val="002D19DA"/>
    <w:rsid w:val="002D24FC"/>
    <w:rsid w:val="002D3D81"/>
    <w:rsid w:val="002F73A7"/>
    <w:rsid w:val="003078F0"/>
    <w:rsid w:val="00316454"/>
    <w:rsid w:val="0032364D"/>
    <w:rsid w:val="00323963"/>
    <w:rsid w:val="00324FDE"/>
    <w:rsid w:val="0033271F"/>
    <w:rsid w:val="003369CB"/>
    <w:rsid w:val="003431C9"/>
    <w:rsid w:val="00345F95"/>
    <w:rsid w:val="0035189C"/>
    <w:rsid w:val="00355822"/>
    <w:rsid w:val="00365AEF"/>
    <w:rsid w:val="00366B5A"/>
    <w:rsid w:val="0036701F"/>
    <w:rsid w:val="003720B8"/>
    <w:rsid w:val="00375C97"/>
    <w:rsid w:val="00391600"/>
    <w:rsid w:val="003B6FFF"/>
    <w:rsid w:val="003B75D9"/>
    <w:rsid w:val="003C0993"/>
    <w:rsid w:val="003C16F8"/>
    <w:rsid w:val="003D07FA"/>
    <w:rsid w:val="003D3385"/>
    <w:rsid w:val="003E1477"/>
    <w:rsid w:val="003E26F9"/>
    <w:rsid w:val="003F2161"/>
    <w:rsid w:val="003F3966"/>
    <w:rsid w:val="00400B37"/>
    <w:rsid w:val="00411E14"/>
    <w:rsid w:val="00412797"/>
    <w:rsid w:val="00412C09"/>
    <w:rsid w:val="00423F6E"/>
    <w:rsid w:val="00440A4B"/>
    <w:rsid w:val="0044360D"/>
    <w:rsid w:val="00443AB8"/>
    <w:rsid w:val="004467AF"/>
    <w:rsid w:val="004574AD"/>
    <w:rsid w:val="004600B0"/>
    <w:rsid w:val="004641EC"/>
    <w:rsid w:val="00465C06"/>
    <w:rsid w:val="00471071"/>
    <w:rsid w:val="00473022"/>
    <w:rsid w:val="00473EBC"/>
    <w:rsid w:val="00482636"/>
    <w:rsid w:val="00484DCF"/>
    <w:rsid w:val="00486877"/>
    <w:rsid w:val="00487518"/>
    <w:rsid w:val="00491BD4"/>
    <w:rsid w:val="00496DC4"/>
    <w:rsid w:val="00497269"/>
    <w:rsid w:val="004A501E"/>
    <w:rsid w:val="004B21F5"/>
    <w:rsid w:val="004C4072"/>
    <w:rsid w:val="004C5C6F"/>
    <w:rsid w:val="004D03C2"/>
    <w:rsid w:val="004E0EE6"/>
    <w:rsid w:val="004E40C9"/>
    <w:rsid w:val="004E4B8C"/>
    <w:rsid w:val="004E5C68"/>
    <w:rsid w:val="0050276D"/>
    <w:rsid w:val="005070D9"/>
    <w:rsid w:val="005327B5"/>
    <w:rsid w:val="00536E79"/>
    <w:rsid w:val="005426E7"/>
    <w:rsid w:val="0055246B"/>
    <w:rsid w:val="00561B2C"/>
    <w:rsid w:val="00562FFF"/>
    <w:rsid w:val="005667E5"/>
    <w:rsid w:val="00572531"/>
    <w:rsid w:val="00572E32"/>
    <w:rsid w:val="00576D5E"/>
    <w:rsid w:val="00582EC1"/>
    <w:rsid w:val="00584438"/>
    <w:rsid w:val="00587988"/>
    <w:rsid w:val="005918F9"/>
    <w:rsid w:val="00596AB6"/>
    <w:rsid w:val="005A0481"/>
    <w:rsid w:val="005A3E3C"/>
    <w:rsid w:val="005A3E5C"/>
    <w:rsid w:val="005B72DC"/>
    <w:rsid w:val="005C1DCB"/>
    <w:rsid w:val="005D0EDE"/>
    <w:rsid w:val="005D6A83"/>
    <w:rsid w:val="005E7DD9"/>
    <w:rsid w:val="005F0084"/>
    <w:rsid w:val="005F1969"/>
    <w:rsid w:val="005F7F6D"/>
    <w:rsid w:val="006007AE"/>
    <w:rsid w:val="0061306E"/>
    <w:rsid w:val="00630536"/>
    <w:rsid w:val="0063131B"/>
    <w:rsid w:val="0063447F"/>
    <w:rsid w:val="006378DF"/>
    <w:rsid w:val="00651FE8"/>
    <w:rsid w:val="00657B6E"/>
    <w:rsid w:val="00676CC5"/>
    <w:rsid w:val="00684A41"/>
    <w:rsid w:val="006A1003"/>
    <w:rsid w:val="006B067E"/>
    <w:rsid w:val="006B2F88"/>
    <w:rsid w:val="006C5AA6"/>
    <w:rsid w:val="006E4743"/>
    <w:rsid w:val="006E7D54"/>
    <w:rsid w:val="006F1C55"/>
    <w:rsid w:val="006F7902"/>
    <w:rsid w:val="00705255"/>
    <w:rsid w:val="00717325"/>
    <w:rsid w:val="0072019F"/>
    <w:rsid w:val="00731083"/>
    <w:rsid w:val="00737630"/>
    <w:rsid w:val="007418BA"/>
    <w:rsid w:val="007443B6"/>
    <w:rsid w:val="00746EAF"/>
    <w:rsid w:val="00751697"/>
    <w:rsid w:val="00752340"/>
    <w:rsid w:val="00760AF2"/>
    <w:rsid w:val="007632BE"/>
    <w:rsid w:val="007641CC"/>
    <w:rsid w:val="00770507"/>
    <w:rsid w:val="007705C5"/>
    <w:rsid w:val="00774BDC"/>
    <w:rsid w:val="007820F1"/>
    <w:rsid w:val="00784E56"/>
    <w:rsid w:val="00790398"/>
    <w:rsid w:val="0079489F"/>
    <w:rsid w:val="00796A9F"/>
    <w:rsid w:val="007A19DF"/>
    <w:rsid w:val="007C0DB8"/>
    <w:rsid w:val="007C2CA0"/>
    <w:rsid w:val="007C46D0"/>
    <w:rsid w:val="007C5BA5"/>
    <w:rsid w:val="007D0546"/>
    <w:rsid w:val="007D08D5"/>
    <w:rsid w:val="007E3694"/>
    <w:rsid w:val="007E5D79"/>
    <w:rsid w:val="00806669"/>
    <w:rsid w:val="00824CEA"/>
    <w:rsid w:val="008408A7"/>
    <w:rsid w:val="00841C85"/>
    <w:rsid w:val="00841E22"/>
    <w:rsid w:val="00844B22"/>
    <w:rsid w:val="0086122F"/>
    <w:rsid w:val="0086508D"/>
    <w:rsid w:val="00874589"/>
    <w:rsid w:val="008821F5"/>
    <w:rsid w:val="00883352"/>
    <w:rsid w:val="008924E0"/>
    <w:rsid w:val="008A3B1C"/>
    <w:rsid w:val="008A69D5"/>
    <w:rsid w:val="008B1070"/>
    <w:rsid w:val="008B19B5"/>
    <w:rsid w:val="008C32A7"/>
    <w:rsid w:val="008C3A6A"/>
    <w:rsid w:val="008C61D3"/>
    <w:rsid w:val="008D0043"/>
    <w:rsid w:val="008D03B7"/>
    <w:rsid w:val="008D2963"/>
    <w:rsid w:val="008D73AA"/>
    <w:rsid w:val="008E3C79"/>
    <w:rsid w:val="008F20EF"/>
    <w:rsid w:val="008F73A9"/>
    <w:rsid w:val="009041AA"/>
    <w:rsid w:val="00906C74"/>
    <w:rsid w:val="00911475"/>
    <w:rsid w:val="00926497"/>
    <w:rsid w:val="00930DCC"/>
    <w:rsid w:val="0093653C"/>
    <w:rsid w:val="009378FA"/>
    <w:rsid w:val="00942E15"/>
    <w:rsid w:val="00945B3F"/>
    <w:rsid w:val="0095022A"/>
    <w:rsid w:val="00961F0A"/>
    <w:rsid w:val="0096220E"/>
    <w:rsid w:val="0096667D"/>
    <w:rsid w:val="009711B3"/>
    <w:rsid w:val="00976F43"/>
    <w:rsid w:val="009905AB"/>
    <w:rsid w:val="009A596A"/>
    <w:rsid w:val="009B3F82"/>
    <w:rsid w:val="009B6EDF"/>
    <w:rsid w:val="009C175B"/>
    <w:rsid w:val="009D0828"/>
    <w:rsid w:val="009D5A9B"/>
    <w:rsid w:val="009D61F4"/>
    <w:rsid w:val="009E2CC9"/>
    <w:rsid w:val="009F2E2B"/>
    <w:rsid w:val="00A13CCD"/>
    <w:rsid w:val="00A1779A"/>
    <w:rsid w:val="00A26644"/>
    <w:rsid w:val="00A27D4F"/>
    <w:rsid w:val="00A346AF"/>
    <w:rsid w:val="00A437BF"/>
    <w:rsid w:val="00A46A3D"/>
    <w:rsid w:val="00A47611"/>
    <w:rsid w:val="00A57582"/>
    <w:rsid w:val="00A66C37"/>
    <w:rsid w:val="00A7049E"/>
    <w:rsid w:val="00A760D3"/>
    <w:rsid w:val="00A825D7"/>
    <w:rsid w:val="00A83CDC"/>
    <w:rsid w:val="00A974D4"/>
    <w:rsid w:val="00A97A47"/>
    <w:rsid w:val="00AA09AB"/>
    <w:rsid w:val="00AB7E4F"/>
    <w:rsid w:val="00AD3918"/>
    <w:rsid w:val="00AD70B8"/>
    <w:rsid w:val="00AF5D2D"/>
    <w:rsid w:val="00B00965"/>
    <w:rsid w:val="00B03433"/>
    <w:rsid w:val="00B03665"/>
    <w:rsid w:val="00B10A59"/>
    <w:rsid w:val="00B118EF"/>
    <w:rsid w:val="00B13FBB"/>
    <w:rsid w:val="00B15F59"/>
    <w:rsid w:val="00B23287"/>
    <w:rsid w:val="00B35EE8"/>
    <w:rsid w:val="00B43270"/>
    <w:rsid w:val="00B46629"/>
    <w:rsid w:val="00B71C61"/>
    <w:rsid w:val="00B77AD1"/>
    <w:rsid w:val="00B8018D"/>
    <w:rsid w:val="00B80F8B"/>
    <w:rsid w:val="00B81F66"/>
    <w:rsid w:val="00B83DED"/>
    <w:rsid w:val="00B84865"/>
    <w:rsid w:val="00B864F1"/>
    <w:rsid w:val="00B93A85"/>
    <w:rsid w:val="00BA3E77"/>
    <w:rsid w:val="00BA3E80"/>
    <w:rsid w:val="00BA57EF"/>
    <w:rsid w:val="00BB0FD3"/>
    <w:rsid w:val="00BD172F"/>
    <w:rsid w:val="00BD3902"/>
    <w:rsid w:val="00BD3CE6"/>
    <w:rsid w:val="00BD440A"/>
    <w:rsid w:val="00BE54C0"/>
    <w:rsid w:val="00BF5A45"/>
    <w:rsid w:val="00C0008B"/>
    <w:rsid w:val="00C012C9"/>
    <w:rsid w:val="00C10B2D"/>
    <w:rsid w:val="00C13DE0"/>
    <w:rsid w:val="00C2087C"/>
    <w:rsid w:val="00C32A60"/>
    <w:rsid w:val="00C378B1"/>
    <w:rsid w:val="00C42186"/>
    <w:rsid w:val="00C521DF"/>
    <w:rsid w:val="00C607C5"/>
    <w:rsid w:val="00C61807"/>
    <w:rsid w:val="00C647F3"/>
    <w:rsid w:val="00C66803"/>
    <w:rsid w:val="00C811A3"/>
    <w:rsid w:val="00C90941"/>
    <w:rsid w:val="00C90E3D"/>
    <w:rsid w:val="00CA5476"/>
    <w:rsid w:val="00CB116E"/>
    <w:rsid w:val="00CB2060"/>
    <w:rsid w:val="00CB79E7"/>
    <w:rsid w:val="00CC2AAB"/>
    <w:rsid w:val="00CC666D"/>
    <w:rsid w:val="00CC6C90"/>
    <w:rsid w:val="00CF3093"/>
    <w:rsid w:val="00CF6237"/>
    <w:rsid w:val="00CF7055"/>
    <w:rsid w:val="00CF7C6D"/>
    <w:rsid w:val="00D00D26"/>
    <w:rsid w:val="00D041BB"/>
    <w:rsid w:val="00D13F4B"/>
    <w:rsid w:val="00D2326D"/>
    <w:rsid w:val="00D2533E"/>
    <w:rsid w:val="00D25802"/>
    <w:rsid w:val="00D30580"/>
    <w:rsid w:val="00D31E28"/>
    <w:rsid w:val="00D437E0"/>
    <w:rsid w:val="00D45D85"/>
    <w:rsid w:val="00D46FBB"/>
    <w:rsid w:val="00D5371C"/>
    <w:rsid w:val="00D563B4"/>
    <w:rsid w:val="00D7500C"/>
    <w:rsid w:val="00D77966"/>
    <w:rsid w:val="00D86A5C"/>
    <w:rsid w:val="00DA0D2B"/>
    <w:rsid w:val="00DA4755"/>
    <w:rsid w:val="00DA5A8D"/>
    <w:rsid w:val="00DB191C"/>
    <w:rsid w:val="00DC20D9"/>
    <w:rsid w:val="00DC48AF"/>
    <w:rsid w:val="00DC574D"/>
    <w:rsid w:val="00DC5795"/>
    <w:rsid w:val="00DC69B7"/>
    <w:rsid w:val="00DC7652"/>
    <w:rsid w:val="00DD377D"/>
    <w:rsid w:val="00DD61EA"/>
    <w:rsid w:val="00DD7681"/>
    <w:rsid w:val="00DE07A0"/>
    <w:rsid w:val="00DE49D4"/>
    <w:rsid w:val="00E02F48"/>
    <w:rsid w:val="00E0791C"/>
    <w:rsid w:val="00E10453"/>
    <w:rsid w:val="00E11CDE"/>
    <w:rsid w:val="00E1613F"/>
    <w:rsid w:val="00E16292"/>
    <w:rsid w:val="00E2621F"/>
    <w:rsid w:val="00E27306"/>
    <w:rsid w:val="00E307EA"/>
    <w:rsid w:val="00E3328D"/>
    <w:rsid w:val="00E45C2D"/>
    <w:rsid w:val="00E51DDC"/>
    <w:rsid w:val="00E608AC"/>
    <w:rsid w:val="00E629EF"/>
    <w:rsid w:val="00E63631"/>
    <w:rsid w:val="00E65C63"/>
    <w:rsid w:val="00E77FA6"/>
    <w:rsid w:val="00E9579C"/>
    <w:rsid w:val="00E961C6"/>
    <w:rsid w:val="00EA306F"/>
    <w:rsid w:val="00EA6173"/>
    <w:rsid w:val="00EB34A8"/>
    <w:rsid w:val="00EB4D2A"/>
    <w:rsid w:val="00EB770B"/>
    <w:rsid w:val="00ED6479"/>
    <w:rsid w:val="00ED6C35"/>
    <w:rsid w:val="00ED7D70"/>
    <w:rsid w:val="00EE0E26"/>
    <w:rsid w:val="00EF1E5E"/>
    <w:rsid w:val="00EF3369"/>
    <w:rsid w:val="00EF705D"/>
    <w:rsid w:val="00F00746"/>
    <w:rsid w:val="00F0526B"/>
    <w:rsid w:val="00F10821"/>
    <w:rsid w:val="00F144D1"/>
    <w:rsid w:val="00F21441"/>
    <w:rsid w:val="00F23570"/>
    <w:rsid w:val="00F23D66"/>
    <w:rsid w:val="00F35324"/>
    <w:rsid w:val="00F47131"/>
    <w:rsid w:val="00F51DC7"/>
    <w:rsid w:val="00F558AE"/>
    <w:rsid w:val="00F56BE7"/>
    <w:rsid w:val="00F609F8"/>
    <w:rsid w:val="00F64342"/>
    <w:rsid w:val="00F666DE"/>
    <w:rsid w:val="00F72212"/>
    <w:rsid w:val="00F74334"/>
    <w:rsid w:val="00F84320"/>
    <w:rsid w:val="00F8794C"/>
    <w:rsid w:val="00F92B47"/>
    <w:rsid w:val="00FA0526"/>
    <w:rsid w:val="00FA7B9A"/>
    <w:rsid w:val="00FB0569"/>
    <w:rsid w:val="00FB0BFD"/>
    <w:rsid w:val="00FB0F3D"/>
    <w:rsid w:val="00FB45E5"/>
    <w:rsid w:val="00FC21FC"/>
    <w:rsid w:val="00FC7B6D"/>
    <w:rsid w:val="00FD1589"/>
    <w:rsid w:val="00FD1F09"/>
    <w:rsid w:val="00FD2217"/>
    <w:rsid w:val="00FD6797"/>
    <w:rsid w:val="00FF0B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59"/>
    <w:pPr>
      <w:spacing w:before="120" w:after="120" w:line="240" w:lineRule="auto"/>
      <w:outlineLvl w:val="2"/>
    </w:pPr>
    <w:rPr>
      <w:rFonts w:ascii="Arial Narrow" w:hAnsi="Arial Narrow"/>
    </w:rPr>
  </w:style>
  <w:style w:type="paragraph" w:styleId="Heading1">
    <w:name w:val="heading 1"/>
    <w:basedOn w:val="Normal"/>
    <w:next w:val="Normal"/>
    <w:link w:val="Heading1Char"/>
    <w:uiPriority w:val="9"/>
    <w:qFormat/>
    <w:rsid w:val="009D0828"/>
    <w:pPr>
      <w:keepNext/>
      <w:keepLines/>
      <w:spacing w:before="480" w:after="0"/>
      <w:jc w:val="center"/>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E3EA7"/>
    <w:pPr>
      <w:keepNext/>
      <w:keepLines/>
      <w:spacing w:before="60" w:after="60"/>
      <w:jc w:val="center"/>
      <w:outlineLvl w:val="1"/>
    </w:pPr>
    <w:rPr>
      <w:rFonts w:ascii="Franklin Gothic Medium Cond" w:eastAsiaTheme="majorEastAsia" w:hAnsi="Franklin Gothic Medium Cond" w:cstheme="majorBidi"/>
      <w:bCs/>
      <w:sz w:val="28"/>
      <w:szCs w:val="25"/>
    </w:rPr>
  </w:style>
  <w:style w:type="paragraph" w:styleId="Heading3">
    <w:name w:val="heading 3"/>
    <w:basedOn w:val="Normal"/>
    <w:next w:val="Normal"/>
    <w:link w:val="Heading3Char"/>
    <w:uiPriority w:val="9"/>
    <w:unhideWhenUsed/>
    <w:qFormat/>
    <w:rsid w:val="00B23287"/>
    <w:rPr>
      <w:rFonts w:ascii="Franklin Gothic Medium" w:hAnsi="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EA7"/>
    <w:rPr>
      <w:rFonts w:ascii="Franklin Gothic Medium Cond" w:eastAsiaTheme="majorEastAsia" w:hAnsi="Franklin Gothic Medium Cond" w:cstheme="majorBidi"/>
      <w:bCs/>
      <w:sz w:val="28"/>
      <w:szCs w:val="25"/>
    </w:rPr>
  </w:style>
  <w:style w:type="table" w:styleId="TableGrid">
    <w:name w:val="Table Grid"/>
    <w:basedOn w:val="TableNormal"/>
    <w:uiPriority w:val="59"/>
    <w:rsid w:val="00A43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37BF"/>
    <w:pPr>
      <w:ind w:left="720"/>
      <w:contextualSpacing/>
    </w:pPr>
  </w:style>
  <w:style w:type="character" w:customStyle="1" w:styleId="Heading3Char">
    <w:name w:val="Heading 3 Char"/>
    <w:basedOn w:val="DefaultParagraphFont"/>
    <w:link w:val="Heading3"/>
    <w:uiPriority w:val="9"/>
    <w:rsid w:val="00B23287"/>
    <w:rPr>
      <w:rFonts w:ascii="Franklin Gothic Medium" w:hAnsi="Franklin Gothic Medium"/>
    </w:rPr>
  </w:style>
  <w:style w:type="character" w:customStyle="1" w:styleId="Heading1Char">
    <w:name w:val="Heading 1 Char"/>
    <w:basedOn w:val="DefaultParagraphFont"/>
    <w:link w:val="Heading1"/>
    <w:uiPriority w:val="9"/>
    <w:rsid w:val="009D0828"/>
    <w:rPr>
      <w:rFonts w:ascii="Arial Narrow" w:eastAsiaTheme="majorEastAsia" w:hAnsi="Arial Narrow" w:cstheme="majorBidi"/>
      <w:b/>
      <w:bCs/>
      <w:sz w:val="40"/>
      <w:szCs w:val="28"/>
    </w:rPr>
  </w:style>
  <w:style w:type="paragraph" w:styleId="BalloonText">
    <w:name w:val="Balloon Text"/>
    <w:basedOn w:val="Normal"/>
    <w:link w:val="BalloonTextChar"/>
    <w:uiPriority w:val="99"/>
    <w:semiHidden/>
    <w:unhideWhenUsed/>
    <w:rsid w:val="00BD3C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E6"/>
    <w:rPr>
      <w:rFonts w:ascii="Tahoma" w:hAnsi="Tahoma" w:cs="Tahoma"/>
      <w:sz w:val="16"/>
      <w:szCs w:val="16"/>
    </w:rPr>
  </w:style>
  <w:style w:type="paragraph" w:customStyle="1" w:styleId="CWSNFL10pts">
    <w:name w:val="!CWSN(FL)10pts"/>
    <w:basedOn w:val="Normal"/>
    <w:rsid w:val="006007AE"/>
    <w:pPr>
      <w:tabs>
        <w:tab w:val="left" w:pos="317"/>
      </w:tabs>
      <w:spacing w:before="40" w:after="40"/>
      <w:outlineLvl w:val="9"/>
    </w:pPr>
    <w:rPr>
      <w:rFonts w:ascii="Arial" w:eastAsia="Times New Roman" w:hAnsi="Arial" w:cs="Times New Roman"/>
      <w:sz w:val="20"/>
      <w:szCs w:val="20"/>
      <w:lang w:eastAsia="en-GB"/>
    </w:rPr>
  </w:style>
  <w:style w:type="paragraph" w:styleId="Header">
    <w:name w:val="header"/>
    <w:basedOn w:val="Normal"/>
    <w:link w:val="HeaderChar"/>
    <w:uiPriority w:val="99"/>
    <w:semiHidden/>
    <w:unhideWhenUsed/>
    <w:rsid w:val="00D00D26"/>
    <w:pPr>
      <w:tabs>
        <w:tab w:val="center" w:pos="4513"/>
        <w:tab w:val="right" w:pos="9026"/>
      </w:tabs>
      <w:spacing w:before="0" w:after="0"/>
    </w:pPr>
  </w:style>
  <w:style w:type="character" w:customStyle="1" w:styleId="HeaderChar">
    <w:name w:val="Header Char"/>
    <w:basedOn w:val="DefaultParagraphFont"/>
    <w:link w:val="Header"/>
    <w:uiPriority w:val="99"/>
    <w:semiHidden/>
    <w:rsid w:val="00D00D26"/>
    <w:rPr>
      <w:rFonts w:ascii="Arial Narrow" w:hAnsi="Arial Narrow"/>
    </w:rPr>
  </w:style>
  <w:style w:type="paragraph" w:styleId="Footer">
    <w:name w:val="footer"/>
    <w:basedOn w:val="Normal"/>
    <w:link w:val="FooterChar"/>
    <w:uiPriority w:val="99"/>
    <w:unhideWhenUsed/>
    <w:rsid w:val="00D00D26"/>
    <w:pPr>
      <w:tabs>
        <w:tab w:val="center" w:pos="4513"/>
        <w:tab w:val="right" w:pos="9026"/>
      </w:tabs>
      <w:spacing w:before="0" w:after="0"/>
    </w:pPr>
  </w:style>
  <w:style w:type="character" w:customStyle="1" w:styleId="FooterChar">
    <w:name w:val="Footer Char"/>
    <w:basedOn w:val="DefaultParagraphFont"/>
    <w:link w:val="Footer"/>
    <w:uiPriority w:val="99"/>
    <w:rsid w:val="00D00D26"/>
    <w:rPr>
      <w:rFonts w:ascii="Arial Narrow" w:hAnsi="Arial Narro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6</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Dempster</dc:creator>
  <cp:lastModifiedBy>Dempster</cp:lastModifiedBy>
  <cp:revision>66</cp:revision>
  <cp:lastPrinted>2015-07-29T16:52:00Z</cp:lastPrinted>
  <dcterms:created xsi:type="dcterms:W3CDTF">2015-07-30T19:58:00Z</dcterms:created>
  <dcterms:modified xsi:type="dcterms:W3CDTF">2015-08-04T13:36:00Z</dcterms:modified>
</cp:coreProperties>
</file>