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223B3" w14:textId="4B050551" w:rsidR="000533A6" w:rsidRDefault="00636E93" w:rsidP="00D70B62">
      <w:pPr>
        <w:pStyle w:val="Title-IPC"/>
      </w:pPr>
      <w:r>
        <w:t>Harvard Referencing Exercise</w:t>
      </w:r>
    </w:p>
    <w:p w14:paraId="09152AA8" w14:textId="764A834B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Find below exercises for the Harvard style of referencing. Please use the Oxford Brookes University guide to referencing to help you. (Handout).</w:t>
      </w:r>
    </w:p>
    <w:p w14:paraId="3015D7A4" w14:textId="77777777" w:rsidR="00636E93" w:rsidRDefault="00636E93" w:rsidP="00636E93">
      <w:pPr>
        <w:pStyle w:val="Heading3"/>
        <w:numPr>
          <w:ilvl w:val="0"/>
          <w:numId w:val="0"/>
        </w:numPr>
        <w:ind w:left="1021" w:hanging="1021"/>
      </w:pPr>
      <w:r>
        <w:t>Exercise 1</w:t>
      </w:r>
    </w:p>
    <w:p w14:paraId="50FE6E0B" w14:textId="77777777" w:rsidR="00636E93" w:rsidRPr="004978C9" w:rsidRDefault="00636E93" w:rsidP="00636E93">
      <w:pPr>
        <w:rPr>
          <w:b/>
          <w:bCs/>
          <w:color w:val="auto"/>
        </w:rPr>
      </w:pPr>
      <w:r w:rsidRPr="004978C9">
        <w:rPr>
          <w:b/>
          <w:bCs/>
          <w:color w:val="auto"/>
        </w:rPr>
        <w:t>Fill in the missing information</w:t>
      </w:r>
    </w:p>
    <w:p w14:paraId="16680E60" w14:textId="5F1CCA53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 xml:space="preserve">As a set of principles Leutz’s rules (Leutz, [REF]) have continued to gain credibility over time, yet whilst these are a useful starting point, it is clear there is no simple formula for service development. The reasons for this are unclear, although Glasby (Glasby, [REF]) argues the historical and structural differences between health organisations and local authorities are deeply rooted and difficult to overcome. </w:t>
      </w:r>
    </w:p>
    <w:p w14:paraId="56BC992A" w14:textId="5DFFA6E0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In the case of clinically integrated systems within the NHS, Chris Ham (Ham, [REF]) asserts that national policy can act as both a facilitator and a barrier to integration, especially when the incentives at a local level are underdeveloped. A recent review of integration in six European countries came to similar conclusions. (Mur-Veerman et al, [REF]).</w:t>
      </w:r>
    </w:p>
    <w:p w14:paraId="4A941453" w14:textId="77777777" w:rsidR="00636E93" w:rsidRDefault="00636E93" w:rsidP="00636E93">
      <w:pPr>
        <w:pStyle w:val="Heading3"/>
        <w:numPr>
          <w:ilvl w:val="0"/>
          <w:numId w:val="0"/>
        </w:numPr>
        <w:ind w:left="1021" w:hanging="1021"/>
      </w:pPr>
      <w:r>
        <w:t>References</w:t>
      </w:r>
    </w:p>
    <w:p w14:paraId="03AFDEE3" w14:textId="77777777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Leutz, W. (1999) Five laws for integrating medical and social services: Lessons from the United States and the United Kingdom. The Millbank Quarterly 77(1):77-110.</w:t>
      </w:r>
    </w:p>
    <w:p w14:paraId="46746D90" w14:textId="77777777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Glasby, J (2003) Hospital Discharge: Integrating Health and Social Care. Radcliffe Publishing.</w:t>
      </w:r>
    </w:p>
    <w:p w14:paraId="2A24A7DA" w14:textId="77777777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Ham, C (2008) Integrating NHS Care: Lessons from the front line. The Nuffield Trust.</w:t>
      </w:r>
    </w:p>
    <w:p w14:paraId="7A25A96C" w14:textId="77777777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Mur-Veeman I, van Raak A, and Paulus A (2008) Comparing integrated care policy in Europe: Does policy matter? Health Policy. 85: 172-183.</w:t>
      </w:r>
    </w:p>
    <w:p w14:paraId="11E19530" w14:textId="77777777" w:rsidR="00636E93" w:rsidRPr="004978C9" w:rsidRDefault="00636E93" w:rsidP="00636E93">
      <w:pPr>
        <w:rPr>
          <w:color w:val="auto"/>
        </w:rPr>
      </w:pPr>
    </w:p>
    <w:p w14:paraId="16251D25" w14:textId="0BD4DF16" w:rsidR="00636E93" w:rsidRDefault="00636E93">
      <w:r>
        <w:br w:type="page"/>
      </w:r>
    </w:p>
    <w:p w14:paraId="28DBCB97" w14:textId="77777777" w:rsidR="00636E93" w:rsidRDefault="00636E93" w:rsidP="00636E93">
      <w:pPr>
        <w:pStyle w:val="Heading3"/>
        <w:numPr>
          <w:ilvl w:val="0"/>
          <w:numId w:val="0"/>
        </w:numPr>
        <w:ind w:left="1021" w:hanging="1021"/>
      </w:pPr>
      <w:r>
        <w:lastRenderedPageBreak/>
        <w:t>Exercise 2</w:t>
      </w:r>
    </w:p>
    <w:p w14:paraId="07CC4808" w14:textId="48769279" w:rsidR="00636E93" w:rsidRPr="004978C9" w:rsidRDefault="00636E93" w:rsidP="00636E93">
      <w:pPr>
        <w:rPr>
          <w:b/>
          <w:bCs/>
          <w:color w:val="auto"/>
        </w:rPr>
      </w:pPr>
      <w:r w:rsidRPr="004978C9">
        <w:rPr>
          <w:b/>
          <w:bCs/>
          <w:color w:val="auto"/>
        </w:rPr>
        <w:t xml:space="preserve">Eight publications of various formats are described below. Try writing the reference details for each in the Harvard style and putting them into alphabetical order in a reference list. </w:t>
      </w:r>
    </w:p>
    <w:p w14:paraId="7FF16BFA" w14:textId="01BCACFB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Schedule 11 of the Health and Care Act (2022) regarding Patient Choice: Undertakings by Integrated Care Boards.</w:t>
      </w:r>
    </w:p>
    <w:p w14:paraId="7D293210" w14:textId="77777777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 xml:space="preserve">A report by the Local Government Association and the Integration and Better Care Fund named ‘Strategic Collaborative Planning and Commissioning’, published in 2022. </w:t>
      </w:r>
    </w:p>
    <w:p w14:paraId="341D5172" w14:textId="18829783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 xml:space="preserve">A chapter from Swindon Borough Council’s Joint Strategic Needs Assessment published in 2022 focussing on Oral Health. </w:t>
      </w:r>
    </w:p>
    <w:p w14:paraId="6339B2B1" w14:textId="1A1787F9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A book called Ending the Social Care Crisis: A new road to reform, published in 2022.</w:t>
      </w:r>
    </w:p>
    <w:p w14:paraId="21D21C2C" w14:textId="623B5ACE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 xml:space="preserve">A report called ‘A practical guide for strategic workforce planning, shaping and commissioning’ published in 2022. </w:t>
      </w:r>
    </w:p>
    <w:p w14:paraId="6053CB1D" w14:textId="77777777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A guide called ‘Developing a Market Position Statement: a commissioner’s toolkit’, published by IPC in 2014.</w:t>
      </w:r>
    </w:p>
    <w:p w14:paraId="736C8AA7" w14:textId="1E4CD3D3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 xml:space="preserve">A web page on the Social Care Institute for Excellence advising what co-production is and how to do it: </w:t>
      </w:r>
      <w:hyperlink r:id="rId8" w:history="1">
        <w:r w:rsidRPr="004978C9">
          <w:rPr>
            <w:rStyle w:val="Hyperlink"/>
            <w:color w:val="auto"/>
          </w:rPr>
          <w:t>https://www.scie.org.uk/co-production/what-how</w:t>
        </w:r>
      </w:hyperlink>
      <w:r w:rsidRPr="004978C9">
        <w:rPr>
          <w:color w:val="auto"/>
        </w:rPr>
        <w:t xml:space="preserve">. </w:t>
      </w:r>
    </w:p>
    <w:p w14:paraId="54D76684" w14:textId="0197C2F6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West Sussex’s Council Plan (2021-2025).</w:t>
      </w:r>
    </w:p>
    <w:p w14:paraId="2806E5DD" w14:textId="77777777" w:rsidR="00636E93" w:rsidRPr="004978C9" w:rsidRDefault="00636E93" w:rsidP="00636E93">
      <w:pPr>
        <w:rPr>
          <w:color w:val="auto"/>
        </w:rPr>
      </w:pPr>
    </w:p>
    <w:p w14:paraId="4535F9D4" w14:textId="5E70CF46" w:rsidR="00636E93" w:rsidRPr="004978C9" w:rsidRDefault="00636E93" w:rsidP="00636E93">
      <w:pPr>
        <w:pStyle w:val="NumberedList"/>
        <w:rPr>
          <w:color w:val="auto"/>
        </w:rPr>
      </w:pPr>
    </w:p>
    <w:p w14:paraId="303762C4" w14:textId="48ED390B" w:rsidR="00636E93" w:rsidRPr="004978C9" w:rsidRDefault="00636E93" w:rsidP="00636E93">
      <w:pPr>
        <w:rPr>
          <w:color w:val="auto"/>
        </w:rPr>
      </w:pPr>
    </w:p>
    <w:p w14:paraId="3E3E1C97" w14:textId="32D330C7" w:rsidR="00636E93" w:rsidRPr="004978C9" w:rsidRDefault="00636E93" w:rsidP="00636E93">
      <w:pPr>
        <w:pStyle w:val="NumberedList"/>
        <w:rPr>
          <w:color w:val="auto"/>
        </w:rPr>
      </w:pPr>
    </w:p>
    <w:p w14:paraId="56134729" w14:textId="1D692255" w:rsidR="00636E93" w:rsidRPr="004978C9" w:rsidRDefault="00636E93" w:rsidP="00636E93">
      <w:pPr>
        <w:rPr>
          <w:color w:val="auto"/>
        </w:rPr>
      </w:pPr>
    </w:p>
    <w:p w14:paraId="1F30B8A6" w14:textId="6E2C2444" w:rsidR="00636E93" w:rsidRPr="004978C9" w:rsidRDefault="00636E93" w:rsidP="00636E93">
      <w:pPr>
        <w:pStyle w:val="NumberedList"/>
        <w:rPr>
          <w:color w:val="auto"/>
        </w:rPr>
      </w:pPr>
    </w:p>
    <w:p w14:paraId="2DA7ABA3" w14:textId="2E7AE4A8" w:rsidR="00636E93" w:rsidRPr="004978C9" w:rsidRDefault="00636E93" w:rsidP="00636E93">
      <w:pPr>
        <w:rPr>
          <w:color w:val="auto"/>
        </w:rPr>
      </w:pPr>
    </w:p>
    <w:p w14:paraId="6A6A55BA" w14:textId="1B9BD81E" w:rsidR="00636E93" w:rsidRPr="004978C9" w:rsidRDefault="00636E93" w:rsidP="00636E93">
      <w:pPr>
        <w:pStyle w:val="NumberedList"/>
        <w:rPr>
          <w:color w:val="auto"/>
        </w:rPr>
      </w:pPr>
    </w:p>
    <w:p w14:paraId="2E440716" w14:textId="4A55A83A" w:rsidR="00636E93" w:rsidRPr="004978C9" w:rsidRDefault="00636E93" w:rsidP="00636E93">
      <w:pPr>
        <w:rPr>
          <w:color w:val="auto"/>
        </w:rPr>
      </w:pPr>
    </w:p>
    <w:p w14:paraId="2331B9AE" w14:textId="77777777" w:rsidR="00636E93" w:rsidRPr="004978C9" w:rsidRDefault="00636E93" w:rsidP="00636E93">
      <w:pPr>
        <w:pStyle w:val="NumberedList"/>
        <w:rPr>
          <w:color w:val="auto"/>
        </w:rPr>
      </w:pPr>
    </w:p>
    <w:p w14:paraId="194314F9" w14:textId="77777777" w:rsidR="00636E93" w:rsidRPr="004978C9" w:rsidRDefault="00636E93" w:rsidP="00636E93">
      <w:pPr>
        <w:rPr>
          <w:color w:val="auto"/>
        </w:rPr>
      </w:pPr>
    </w:p>
    <w:p w14:paraId="3213D84A" w14:textId="77777777" w:rsidR="00636E93" w:rsidRPr="004978C9" w:rsidRDefault="00636E93" w:rsidP="00636E93">
      <w:pPr>
        <w:pStyle w:val="NumberedList"/>
        <w:rPr>
          <w:color w:val="auto"/>
        </w:rPr>
      </w:pPr>
    </w:p>
    <w:p w14:paraId="4ECF369A" w14:textId="77777777" w:rsidR="00636E93" w:rsidRPr="004978C9" w:rsidRDefault="00636E93" w:rsidP="00636E93">
      <w:pPr>
        <w:rPr>
          <w:color w:val="auto"/>
        </w:rPr>
      </w:pPr>
    </w:p>
    <w:p w14:paraId="71011AAE" w14:textId="77777777" w:rsidR="00636E93" w:rsidRPr="004978C9" w:rsidRDefault="00636E93" w:rsidP="00636E93">
      <w:pPr>
        <w:pStyle w:val="NumberedList"/>
        <w:rPr>
          <w:color w:val="auto"/>
        </w:rPr>
      </w:pPr>
    </w:p>
    <w:p w14:paraId="35E23D3D" w14:textId="77777777" w:rsidR="00636E93" w:rsidRPr="004978C9" w:rsidRDefault="00636E93" w:rsidP="00636E93">
      <w:pPr>
        <w:rPr>
          <w:color w:val="auto"/>
        </w:rPr>
      </w:pPr>
    </w:p>
    <w:p w14:paraId="0B977D23" w14:textId="77777777" w:rsidR="00636E93" w:rsidRPr="004978C9" w:rsidRDefault="00636E93" w:rsidP="00636E93">
      <w:pPr>
        <w:pStyle w:val="NumberedList"/>
        <w:rPr>
          <w:color w:val="auto"/>
        </w:rPr>
      </w:pPr>
    </w:p>
    <w:p w14:paraId="10B5CA57" w14:textId="5323A065" w:rsidR="00636E93" w:rsidRDefault="00636E93">
      <w:r>
        <w:br w:type="page"/>
      </w:r>
    </w:p>
    <w:p w14:paraId="29201651" w14:textId="77777777" w:rsidR="00636E93" w:rsidRDefault="00636E93" w:rsidP="00636E93">
      <w:pPr>
        <w:pStyle w:val="Heading3"/>
        <w:numPr>
          <w:ilvl w:val="0"/>
          <w:numId w:val="0"/>
        </w:numPr>
        <w:ind w:left="1021" w:hanging="1021"/>
      </w:pPr>
      <w:r>
        <w:lastRenderedPageBreak/>
        <w:t>Exercise 3</w:t>
      </w:r>
    </w:p>
    <w:p w14:paraId="0A7C1028" w14:textId="6D576058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Look at the examples below. Which is the correct Harvard style reference?</w:t>
      </w:r>
    </w:p>
    <w:p w14:paraId="54849749" w14:textId="77777777" w:rsidR="00636E93" w:rsidRPr="004978C9" w:rsidRDefault="00636E93" w:rsidP="00636E93">
      <w:pPr>
        <w:rPr>
          <w:color w:val="auto"/>
        </w:rPr>
      </w:pPr>
      <w:r w:rsidRPr="004978C9">
        <w:rPr>
          <w:color w:val="auto"/>
        </w:rPr>
        <w:t>A, B, C, or D. Mark the one you think is correct then check your answers.</w:t>
      </w:r>
    </w:p>
    <w:p w14:paraId="65759364" w14:textId="77777777" w:rsidR="00636E93" w:rsidRPr="004978C9" w:rsidRDefault="00636E93" w:rsidP="00636E93">
      <w:pPr>
        <w:rPr>
          <w:b/>
          <w:bCs/>
          <w:color w:val="auto"/>
        </w:rPr>
      </w:pPr>
      <w:r w:rsidRPr="004978C9">
        <w:rPr>
          <w:b/>
          <w:bCs/>
          <w:color w:val="auto"/>
        </w:rPr>
        <w:t>Example group 1 – book</w:t>
      </w:r>
    </w:p>
    <w:p w14:paraId="3C830CFF" w14:textId="696BB908" w:rsidR="00636E93" w:rsidRPr="004978C9" w:rsidRDefault="00636E93" w:rsidP="00636E93">
      <w:pPr>
        <w:pStyle w:val="NumberedList"/>
        <w:numPr>
          <w:ilvl w:val="0"/>
          <w:numId w:val="10"/>
        </w:numPr>
        <w:rPr>
          <w:color w:val="auto"/>
        </w:rPr>
      </w:pPr>
      <w:r w:rsidRPr="001A3AED">
        <w:rPr>
          <w:i/>
          <w:iCs/>
          <w:color w:val="auto"/>
        </w:rPr>
        <w:t>Brilliant writing tips for students</w:t>
      </w:r>
      <w:r w:rsidRPr="004978C9">
        <w:rPr>
          <w:color w:val="auto"/>
        </w:rPr>
        <w:t>. Basingstoke: Palgrave MacMillan, Copus J. 2009.</w:t>
      </w:r>
    </w:p>
    <w:p w14:paraId="0A966C2E" w14:textId="64D39E79" w:rsidR="00636E93" w:rsidRPr="004978C9" w:rsidRDefault="00636E93" w:rsidP="00636E93">
      <w:pPr>
        <w:pStyle w:val="NumberedList"/>
        <w:numPr>
          <w:ilvl w:val="0"/>
          <w:numId w:val="10"/>
        </w:numPr>
        <w:rPr>
          <w:color w:val="auto"/>
        </w:rPr>
      </w:pPr>
      <w:r w:rsidRPr="004978C9">
        <w:rPr>
          <w:color w:val="auto"/>
        </w:rPr>
        <w:t xml:space="preserve">Copus J. (2009) </w:t>
      </w:r>
      <w:r w:rsidRPr="001A3AED">
        <w:rPr>
          <w:i/>
          <w:iCs/>
          <w:color w:val="auto"/>
        </w:rPr>
        <w:t>Brilliant writing tips for students</w:t>
      </w:r>
      <w:r w:rsidRPr="004978C9">
        <w:rPr>
          <w:color w:val="auto"/>
        </w:rPr>
        <w:t>, Basingstoke: Palgrave MacMillan.</w:t>
      </w:r>
    </w:p>
    <w:p w14:paraId="47C0D682" w14:textId="089E7324" w:rsidR="00636E93" w:rsidRPr="004978C9" w:rsidRDefault="00636E93" w:rsidP="00636E93">
      <w:pPr>
        <w:pStyle w:val="NumberedList"/>
        <w:numPr>
          <w:ilvl w:val="0"/>
          <w:numId w:val="10"/>
        </w:numPr>
        <w:rPr>
          <w:color w:val="auto"/>
        </w:rPr>
      </w:pPr>
      <w:r w:rsidRPr="004978C9">
        <w:rPr>
          <w:color w:val="auto"/>
        </w:rPr>
        <w:t>Brilliant writing tips for students. Copus, J. 2009.</w:t>
      </w:r>
    </w:p>
    <w:p w14:paraId="4BF2231A" w14:textId="29E3F9B4" w:rsidR="00636E93" w:rsidRPr="004978C9" w:rsidRDefault="00636E93" w:rsidP="00636E93">
      <w:pPr>
        <w:pStyle w:val="NumberedList"/>
        <w:numPr>
          <w:ilvl w:val="0"/>
          <w:numId w:val="10"/>
        </w:numPr>
        <w:rPr>
          <w:color w:val="auto"/>
        </w:rPr>
      </w:pPr>
      <w:r w:rsidRPr="004978C9">
        <w:rPr>
          <w:color w:val="auto"/>
        </w:rPr>
        <w:t>Copus, J. Brilliant writing tips for students. Basingstoke: Palgrave MacMillan.</w:t>
      </w:r>
    </w:p>
    <w:p w14:paraId="6C8496D2" w14:textId="77777777" w:rsidR="00636E93" w:rsidRDefault="00636E93" w:rsidP="00636E93"/>
    <w:p w14:paraId="359AEE53" w14:textId="215AC1FB" w:rsidR="00636E93" w:rsidRPr="004978C9" w:rsidRDefault="00636E93" w:rsidP="00636E93">
      <w:pPr>
        <w:rPr>
          <w:b/>
          <w:bCs/>
          <w:color w:val="auto"/>
        </w:rPr>
      </w:pPr>
      <w:r w:rsidRPr="004978C9">
        <w:rPr>
          <w:b/>
          <w:bCs/>
          <w:color w:val="auto"/>
        </w:rPr>
        <w:t>Example group 2 – online report</w:t>
      </w:r>
      <w:r w:rsidR="001A3AED">
        <w:rPr>
          <w:b/>
          <w:bCs/>
          <w:color w:val="auto"/>
        </w:rPr>
        <w:t xml:space="preserve"> which does NOT have a full place /publisher detail</w:t>
      </w:r>
    </w:p>
    <w:p w14:paraId="3E87C577" w14:textId="47F5A7A6" w:rsidR="00636E93" w:rsidRPr="004978C9" w:rsidRDefault="00636E93" w:rsidP="00636E93">
      <w:pPr>
        <w:pStyle w:val="NumberedList"/>
        <w:numPr>
          <w:ilvl w:val="0"/>
          <w:numId w:val="11"/>
        </w:numPr>
        <w:rPr>
          <w:color w:val="auto"/>
        </w:rPr>
      </w:pPr>
      <w:r w:rsidRPr="004978C9">
        <w:rPr>
          <w:color w:val="auto"/>
        </w:rPr>
        <w:t>Commissioning for Better Outcomes: A Route Map (2015) University of Birmingham, Health Services Management Centre and Institute of Local Government Studies.</w:t>
      </w:r>
    </w:p>
    <w:p w14:paraId="79AF29BD" w14:textId="40091987" w:rsidR="00636E93" w:rsidRDefault="00636E93" w:rsidP="00636E93">
      <w:pPr>
        <w:pStyle w:val="NumberedList"/>
        <w:numPr>
          <w:ilvl w:val="0"/>
          <w:numId w:val="11"/>
        </w:numPr>
      </w:pPr>
      <w:r w:rsidRPr="004978C9">
        <w:rPr>
          <w:color w:val="auto"/>
        </w:rPr>
        <w:t>University of Birmingham, Health Services Management Centre and Institute of Local Government Studies</w:t>
      </w:r>
      <w:r w:rsidR="001A3AED">
        <w:rPr>
          <w:color w:val="auto"/>
        </w:rPr>
        <w:t xml:space="preserve"> (2015)</w:t>
      </w:r>
      <w:r w:rsidRPr="004978C9">
        <w:rPr>
          <w:color w:val="auto"/>
        </w:rPr>
        <w:t xml:space="preserve"> </w:t>
      </w:r>
      <w:r w:rsidRPr="001A3AED">
        <w:rPr>
          <w:i/>
          <w:iCs/>
          <w:color w:val="auto"/>
        </w:rPr>
        <w:t>Commissioning for Better Outcomes: A Route Map</w:t>
      </w:r>
      <w:r w:rsidR="001A3AED">
        <w:rPr>
          <w:color w:val="auto"/>
        </w:rPr>
        <w:t>,</w:t>
      </w:r>
      <w:r w:rsidRPr="004978C9">
        <w:rPr>
          <w:color w:val="auto"/>
        </w:rPr>
        <w:t xml:space="preserve"> </w:t>
      </w:r>
      <w:r w:rsidR="001A3AED">
        <w:rPr>
          <w:color w:val="auto"/>
        </w:rPr>
        <w:t>A</w:t>
      </w:r>
      <w:r w:rsidRPr="004978C9">
        <w:rPr>
          <w:color w:val="auto"/>
        </w:rPr>
        <w:t xml:space="preserve">vailable at </w:t>
      </w:r>
      <w:hyperlink r:id="rId9" w:history="1">
        <w:r w:rsidRPr="00B60EC5">
          <w:rPr>
            <w:rStyle w:val="Hyperlink"/>
          </w:rPr>
          <w:t>https://www.adass.org.uk/media/4576/commissioning-for-better-outcomes-a-route-map-301014.pdf</w:t>
        </w:r>
      </w:hyperlink>
      <w:r w:rsidR="001A3AED">
        <w:t xml:space="preserve">, </w:t>
      </w:r>
      <w:r w:rsidR="001A3AED" w:rsidRPr="001A3AED">
        <w:rPr>
          <w:color w:val="auto"/>
        </w:rPr>
        <w:t>(Accessed: 05/09/2024)</w:t>
      </w:r>
      <w:r w:rsidRPr="001A3AED">
        <w:rPr>
          <w:color w:val="auto"/>
        </w:rPr>
        <w:t xml:space="preserve"> </w:t>
      </w:r>
    </w:p>
    <w:p w14:paraId="4FE12AC0" w14:textId="643A097B" w:rsidR="00636E93" w:rsidRPr="004978C9" w:rsidRDefault="00636E93" w:rsidP="00636E93">
      <w:pPr>
        <w:pStyle w:val="NumberedList"/>
        <w:numPr>
          <w:ilvl w:val="0"/>
          <w:numId w:val="11"/>
        </w:numPr>
        <w:rPr>
          <w:color w:val="auto"/>
        </w:rPr>
      </w:pPr>
      <w:r w:rsidRPr="001A3AED">
        <w:rPr>
          <w:i/>
          <w:iCs/>
          <w:color w:val="auto"/>
        </w:rPr>
        <w:t>Commissioning for Better Outcomes: A Route Map</w:t>
      </w:r>
      <w:r w:rsidR="001A3AED" w:rsidRPr="001A3AED">
        <w:rPr>
          <w:i/>
          <w:iCs/>
          <w:color w:val="auto"/>
        </w:rPr>
        <w:t>,</w:t>
      </w:r>
      <w:r w:rsidR="001A3AED">
        <w:rPr>
          <w:color w:val="auto"/>
        </w:rPr>
        <w:t xml:space="preserve"> </w:t>
      </w:r>
      <w:r w:rsidRPr="004978C9">
        <w:rPr>
          <w:color w:val="auto"/>
        </w:rPr>
        <w:t xml:space="preserve">University of Birmingham, Health Services Management Centre and Institute of Local Government Studies </w:t>
      </w:r>
      <w:r w:rsidR="001A3AED">
        <w:rPr>
          <w:color w:val="auto"/>
        </w:rPr>
        <w:t xml:space="preserve">(2015) </w:t>
      </w:r>
      <w:r w:rsidRPr="004978C9">
        <w:rPr>
          <w:color w:val="auto"/>
        </w:rPr>
        <w:t>(Accessed: 18/09/23).</w:t>
      </w:r>
    </w:p>
    <w:p w14:paraId="0C31E198" w14:textId="035DE7C9" w:rsidR="00636E93" w:rsidRPr="004978C9" w:rsidRDefault="00636E93" w:rsidP="00636E93">
      <w:pPr>
        <w:pStyle w:val="NumberedList"/>
        <w:numPr>
          <w:ilvl w:val="0"/>
          <w:numId w:val="11"/>
        </w:numPr>
        <w:rPr>
          <w:color w:val="auto"/>
        </w:rPr>
      </w:pPr>
      <w:r w:rsidRPr="004978C9">
        <w:rPr>
          <w:color w:val="auto"/>
        </w:rPr>
        <w:t xml:space="preserve">University of Birmingham, Health Services Management Centre and Institute of Local Government Studies (2015) Commissioning for Better Outcomes: A Route Map. Department of Health. </w:t>
      </w:r>
    </w:p>
    <w:p w14:paraId="7F34276E" w14:textId="77777777" w:rsidR="00636E93" w:rsidRDefault="00636E93" w:rsidP="00636E93"/>
    <w:p w14:paraId="0ED99BA1" w14:textId="77777777" w:rsidR="00636E93" w:rsidRPr="004978C9" w:rsidRDefault="00636E93" w:rsidP="00636E93">
      <w:pPr>
        <w:rPr>
          <w:b/>
          <w:bCs/>
          <w:color w:val="auto"/>
        </w:rPr>
      </w:pPr>
      <w:r w:rsidRPr="004978C9">
        <w:rPr>
          <w:b/>
          <w:bCs/>
          <w:color w:val="auto"/>
        </w:rPr>
        <w:t>Example group 3 – internal council document</w:t>
      </w:r>
    </w:p>
    <w:p w14:paraId="631FFB8F" w14:textId="7F383160" w:rsidR="00636E93" w:rsidRPr="004978C9" w:rsidRDefault="00636E93" w:rsidP="00636E93">
      <w:pPr>
        <w:pStyle w:val="NumberedList"/>
        <w:numPr>
          <w:ilvl w:val="0"/>
          <w:numId w:val="12"/>
        </w:numPr>
        <w:rPr>
          <w:color w:val="auto"/>
        </w:rPr>
      </w:pPr>
      <w:r w:rsidRPr="004978C9">
        <w:rPr>
          <w:color w:val="auto"/>
        </w:rPr>
        <w:t>London Borough of Camden, Joint Commissioning Plan for Adults with Learning Disabilities 2013-2016, 2014.</w:t>
      </w:r>
    </w:p>
    <w:p w14:paraId="5D027A15" w14:textId="29CB21FE" w:rsidR="00636E93" w:rsidRPr="004978C9" w:rsidRDefault="00636E93" w:rsidP="00636E93">
      <w:pPr>
        <w:pStyle w:val="NumberedList"/>
        <w:numPr>
          <w:ilvl w:val="0"/>
          <w:numId w:val="12"/>
        </w:numPr>
        <w:rPr>
          <w:color w:val="auto"/>
        </w:rPr>
      </w:pPr>
      <w:r w:rsidRPr="004978C9">
        <w:rPr>
          <w:color w:val="auto"/>
        </w:rPr>
        <w:t>Joint Commissioning Plan for Adults with Learning Disabilities 2013-2016 London Borough of Camden.</w:t>
      </w:r>
    </w:p>
    <w:p w14:paraId="43126F5D" w14:textId="685F6AAB" w:rsidR="00636E93" w:rsidRPr="004978C9" w:rsidRDefault="00636E93" w:rsidP="00636E93">
      <w:pPr>
        <w:pStyle w:val="NumberedList"/>
        <w:numPr>
          <w:ilvl w:val="0"/>
          <w:numId w:val="12"/>
        </w:numPr>
        <w:rPr>
          <w:color w:val="auto"/>
        </w:rPr>
      </w:pPr>
      <w:r w:rsidRPr="004978C9">
        <w:rPr>
          <w:color w:val="auto"/>
        </w:rPr>
        <w:t xml:space="preserve">London Borough of Camden (2014) </w:t>
      </w:r>
      <w:r w:rsidRPr="001A3AED">
        <w:rPr>
          <w:i/>
          <w:iCs/>
          <w:color w:val="auto"/>
        </w:rPr>
        <w:t>Joint Commissioning Plan for Adults with Learning Disabilities 2013-2016.</w:t>
      </w:r>
    </w:p>
    <w:p w14:paraId="354726AA" w14:textId="70E3D953" w:rsidR="00636E93" w:rsidRPr="004978C9" w:rsidRDefault="00636E93" w:rsidP="00636E93">
      <w:pPr>
        <w:pStyle w:val="NumberedList"/>
        <w:numPr>
          <w:ilvl w:val="0"/>
          <w:numId w:val="12"/>
        </w:numPr>
        <w:rPr>
          <w:color w:val="auto"/>
        </w:rPr>
      </w:pPr>
      <w:r w:rsidRPr="004978C9">
        <w:rPr>
          <w:color w:val="auto"/>
        </w:rPr>
        <w:t>Joint Commissioning Plan for Adults with Learning Disabilities 2013-2016 (2014) London Borough of Camden.</w:t>
      </w:r>
    </w:p>
    <w:p w14:paraId="05A32679" w14:textId="77777777" w:rsidR="00636E93" w:rsidRDefault="00636E93" w:rsidP="00636E93"/>
    <w:p w14:paraId="5F0793D9" w14:textId="776C4FE8" w:rsidR="00636E93" w:rsidRDefault="00636E93">
      <w:r>
        <w:br w:type="page"/>
      </w:r>
    </w:p>
    <w:p w14:paraId="40BFC5E5" w14:textId="05AC13C7" w:rsidR="00636E93" w:rsidRPr="004978C9" w:rsidRDefault="00636E93" w:rsidP="00636E93">
      <w:pPr>
        <w:rPr>
          <w:b/>
          <w:bCs/>
          <w:color w:val="auto"/>
        </w:rPr>
      </w:pPr>
      <w:r w:rsidRPr="004978C9">
        <w:rPr>
          <w:b/>
          <w:bCs/>
          <w:color w:val="auto"/>
        </w:rPr>
        <w:lastRenderedPageBreak/>
        <w:t xml:space="preserve">Example group 4 – Article hosted on a webpage </w:t>
      </w:r>
    </w:p>
    <w:p w14:paraId="637DFA97" w14:textId="707D734E" w:rsidR="00636E93" w:rsidRPr="004978C9" w:rsidRDefault="00636E93" w:rsidP="00636E93">
      <w:pPr>
        <w:pStyle w:val="NumberedList"/>
        <w:numPr>
          <w:ilvl w:val="0"/>
          <w:numId w:val="13"/>
        </w:numPr>
        <w:rPr>
          <w:color w:val="auto"/>
        </w:rPr>
      </w:pPr>
      <w:r w:rsidRPr="004978C9">
        <w:rPr>
          <w:color w:val="auto"/>
        </w:rPr>
        <w:t xml:space="preserve">The Kings Fund (2023) </w:t>
      </w:r>
      <w:r w:rsidRPr="001A3AED">
        <w:rPr>
          <w:i/>
          <w:iCs/>
          <w:color w:val="auto"/>
        </w:rPr>
        <w:t>Ethnic inequalities in mortality in England: a complex picture requiring tailored, evidence-based responses.</w:t>
      </w:r>
      <w:r w:rsidRPr="004978C9">
        <w:rPr>
          <w:color w:val="auto"/>
        </w:rPr>
        <w:t xml:space="preserve"> Available at: </w:t>
      </w:r>
      <w:hyperlink r:id="rId10" w:history="1">
        <w:r w:rsidRPr="00B60EC5">
          <w:rPr>
            <w:rStyle w:val="Hyperlink"/>
          </w:rPr>
          <w:t>https://www.kingsfund.org.uk/blog/2023/09/ethnic-inequalities-mortality-england</w:t>
        </w:r>
      </w:hyperlink>
      <w:r>
        <w:t xml:space="preserve"> </w:t>
      </w:r>
      <w:r w:rsidRPr="004978C9">
        <w:rPr>
          <w:color w:val="auto"/>
        </w:rPr>
        <w:t>(Accessed 18 September 2023).</w:t>
      </w:r>
    </w:p>
    <w:p w14:paraId="73036891" w14:textId="17BD7D29" w:rsidR="00636E93" w:rsidRPr="004978C9" w:rsidRDefault="00636E93" w:rsidP="00636E93">
      <w:pPr>
        <w:pStyle w:val="NumberedList"/>
        <w:numPr>
          <w:ilvl w:val="0"/>
          <w:numId w:val="13"/>
        </w:numPr>
        <w:rPr>
          <w:color w:val="auto"/>
        </w:rPr>
      </w:pPr>
      <w:r w:rsidRPr="001A3AED">
        <w:rPr>
          <w:i/>
          <w:iCs/>
          <w:color w:val="auto"/>
        </w:rPr>
        <w:t>Ethnic inequalities in mortality in England: a complex picture requiring tailored, evidence-based responses,</w:t>
      </w:r>
      <w:r w:rsidRPr="004978C9">
        <w:rPr>
          <w:color w:val="auto"/>
        </w:rPr>
        <w:t xml:space="preserve"> Kings Fund (2023).</w:t>
      </w:r>
    </w:p>
    <w:p w14:paraId="64CF6A3A" w14:textId="6C244439" w:rsidR="00636E93" w:rsidRDefault="00636E93" w:rsidP="00636E93">
      <w:pPr>
        <w:pStyle w:val="NumberedList"/>
        <w:numPr>
          <w:ilvl w:val="0"/>
          <w:numId w:val="13"/>
        </w:numPr>
      </w:pPr>
      <w:r w:rsidRPr="004978C9">
        <w:rPr>
          <w:color w:val="auto"/>
        </w:rPr>
        <w:t xml:space="preserve">Ethnic inequalities in mortality in England: a complex picture requiring tailored, evidence-based responses, 2023. Available at: </w:t>
      </w:r>
      <w:hyperlink r:id="rId11" w:history="1">
        <w:r w:rsidRPr="00B60EC5">
          <w:rPr>
            <w:rStyle w:val="Hyperlink"/>
          </w:rPr>
          <w:t>https://www.kingsfund.org.uk/blog/2023/09/ethnic-inequalities-mortality-england</w:t>
        </w:r>
      </w:hyperlink>
      <w:r>
        <w:t xml:space="preserve">. </w:t>
      </w:r>
    </w:p>
    <w:p w14:paraId="042B0E1D" w14:textId="465A28A8" w:rsidR="00636E93" w:rsidRPr="004978C9" w:rsidRDefault="00636E93" w:rsidP="00636E93">
      <w:pPr>
        <w:pStyle w:val="NumberedList"/>
        <w:numPr>
          <w:ilvl w:val="0"/>
          <w:numId w:val="13"/>
        </w:numPr>
        <w:rPr>
          <w:color w:val="auto"/>
        </w:rPr>
      </w:pPr>
      <w:r w:rsidRPr="001A3AED">
        <w:rPr>
          <w:i/>
          <w:iCs/>
          <w:color w:val="auto"/>
        </w:rPr>
        <w:t>Ethnic inequalities in mortality in England: a complex picture requiring tailored, evidence-based responses</w:t>
      </w:r>
      <w:r w:rsidRPr="004978C9">
        <w:rPr>
          <w:color w:val="auto"/>
        </w:rPr>
        <w:t xml:space="preserve"> (accessed 18 September 2023).</w:t>
      </w:r>
    </w:p>
    <w:p w14:paraId="02C91640" w14:textId="77777777" w:rsidR="00636E93" w:rsidRPr="004978C9" w:rsidRDefault="00636E93" w:rsidP="00636E93">
      <w:pPr>
        <w:rPr>
          <w:color w:val="auto"/>
        </w:rPr>
      </w:pPr>
    </w:p>
    <w:p w14:paraId="5EBDE6F9" w14:textId="77777777" w:rsidR="00636E93" w:rsidRDefault="00636E93" w:rsidP="00636E93"/>
    <w:sectPr w:rsidR="00636E93" w:rsidSect="00B06886">
      <w:headerReference w:type="default" r:id="rId12"/>
      <w:footerReference w:type="default" r:id="rId13"/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6FD4C" w14:textId="77777777" w:rsidR="00E852A1" w:rsidRDefault="00E852A1" w:rsidP="000B1790">
      <w:r>
        <w:separator/>
      </w:r>
    </w:p>
  </w:endnote>
  <w:endnote w:type="continuationSeparator" w:id="0">
    <w:p w14:paraId="54264314" w14:textId="77777777" w:rsidR="00E852A1" w:rsidRDefault="00E852A1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94240" w14:textId="77777777" w:rsidR="00FD08A6" w:rsidRPr="00F32981" w:rsidRDefault="00FD08A6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A2C56D" wp14:editId="7F7C8AC9">
              <wp:simplePos x="0" y="0"/>
              <wp:positionH relativeFrom="page">
                <wp:posOffset>6953250</wp:posOffset>
              </wp:positionH>
              <wp:positionV relativeFrom="paragraph">
                <wp:posOffset>153670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846B02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="0030498F">
                            <w:rPr>
                              <w:noProof/>
                            </w:rPr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A2C56D" id="_x0000_s1029" style="position:absolute;margin-left:547.5pt;margin-top:12.1pt;width:4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" fillcolor="#003896" stroked="f" strokeweight="1pt">
              <v:textbox inset="7mm,6mm,,2.5mm">
                <w:txbxContent>
                  <w:p w14:paraId="02846B02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="0030498F">
                      <w:rPr>
                        <w:noProof/>
                      </w:rPr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CA544" w14:textId="77777777" w:rsidR="00E852A1" w:rsidRDefault="00E852A1" w:rsidP="000B1790">
      <w:r>
        <w:separator/>
      </w:r>
    </w:p>
  </w:footnote>
  <w:footnote w:type="continuationSeparator" w:id="0">
    <w:p w14:paraId="4857BF62" w14:textId="77777777" w:rsidR="00E852A1" w:rsidRDefault="00E852A1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A1973" w14:textId="77777777" w:rsidR="002C18F9" w:rsidRPr="00F32981" w:rsidRDefault="0000481D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E134AF" wp14:editId="7D7518CF">
              <wp:simplePos x="0" y="0"/>
              <wp:positionH relativeFrom="page">
                <wp:posOffset>5334000</wp:posOffset>
              </wp:positionH>
              <wp:positionV relativeFrom="paragraph">
                <wp:posOffset>-450215</wp:posOffset>
              </wp:positionV>
              <wp:extent cx="2225675" cy="609600"/>
              <wp:effectExtent l="0" t="0" r="3175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256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E536F5" w14:textId="0FDB7BDB" w:rsidR="002C18F9" w:rsidRPr="00F32981" w:rsidRDefault="000533A6" w:rsidP="004B2B8C">
                          <w:pPr>
                            <w:pStyle w:val="HeaderFontStyle"/>
                          </w:pPr>
                          <w:r>
                            <w:t xml:space="preserve">Updated </w:t>
                          </w:r>
                          <w:r w:rsidR="000462EA">
                            <w:t>September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E134AF" id="Rectangle 1" o:spid="_x0000_s1026" style="position:absolute;margin-left:420pt;margin-top:-35.45pt;width:175.2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" fillcolor="#003896" stroked="f" strokeweight="1pt">
              <v:textbox inset="8mm,5mm,,2.5mm">
                <w:txbxContent>
                  <w:p w14:paraId="67E536F5" w14:textId="0FDB7BDB" w:rsidR="002C18F9" w:rsidRPr="00F32981" w:rsidRDefault="000533A6" w:rsidP="004B2B8C">
                    <w:pPr>
                      <w:pStyle w:val="HeaderFontStyle"/>
                    </w:pPr>
                    <w:r>
                      <w:t xml:space="preserve">Updated </w:t>
                    </w:r>
                    <w:r w:rsidR="000462EA">
                      <w:t>September 2024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BBB0AA7" wp14:editId="01948B5A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8ED8B0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BB0AA7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6E8ED8B0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2B7B7" wp14:editId="753EADE9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317AFB" w14:textId="6464FBDB" w:rsidR="002C18F9" w:rsidRPr="00F32981" w:rsidRDefault="004233BD" w:rsidP="004B2B8C">
                          <w:pPr>
                            <w:pStyle w:val="HeaderFontStyle"/>
                          </w:pPr>
                          <w:r>
                            <w:t>Certificate of Credit in Commissioning and Purchasing for Public Care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B2B7B7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3B317AFB" w14:textId="6464FBDB" w:rsidR="002C18F9" w:rsidRPr="00F32981" w:rsidRDefault="004233BD" w:rsidP="004B2B8C">
                    <w:pPr>
                      <w:pStyle w:val="HeaderFontStyle"/>
                    </w:pPr>
                    <w:r>
                      <w:t>Certificate of Credit in Commissioning and Purchasing for Public Care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705CA"/>
    <w:multiLevelType w:val="multilevel"/>
    <w:tmpl w:val="079655D4"/>
    <w:lvl w:ilvl="0">
      <w:start w:val="1"/>
      <w:numFmt w:val="upperLetter"/>
      <w:lvlText w:val="%1."/>
      <w:lvlJc w:val="left"/>
      <w:pPr>
        <w:ind w:left="357" w:hanging="357"/>
      </w:pPr>
      <w:rPr>
        <w:rFonts w:hint="default"/>
        <w:color w:val="D10373" w:themeColor="accent3"/>
      </w:rPr>
    </w:lvl>
    <w:lvl w:ilvl="1">
      <w:start w:val="1"/>
      <w:numFmt w:val="decimal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5D528CB"/>
    <w:multiLevelType w:val="multilevel"/>
    <w:tmpl w:val="3342D9E2"/>
    <w:lvl w:ilvl="0">
      <w:start w:val="1"/>
      <w:numFmt w:val="upperLetter"/>
      <w:lvlText w:val="%1."/>
      <w:lvlJc w:val="left"/>
      <w:pPr>
        <w:ind w:left="357" w:hanging="357"/>
      </w:pPr>
      <w:rPr>
        <w:rFonts w:hint="default"/>
        <w:color w:val="D10373" w:themeColor="accent3"/>
      </w:rPr>
    </w:lvl>
    <w:lvl w:ilvl="1">
      <w:start w:val="1"/>
      <w:numFmt w:val="decimal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00F6C"/>
    <w:multiLevelType w:val="multilevel"/>
    <w:tmpl w:val="F97A77E6"/>
    <w:lvl w:ilvl="0">
      <w:start w:val="1"/>
      <w:numFmt w:val="upperLetter"/>
      <w:lvlText w:val="%1."/>
      <w:lvlJc w:val="left"/>
      <w:pPr>
        <w:ind w:left="357" w:hanging="357"/>
      </w:pPr>
      <w:rPr>
        <w:rFonts w:hint="default"/>
        <w:color w:val="D10373" w:themeColor="accent3"/>
      </w:rPr>
    </w:lvl>
    <w:lvl w:ilvl="1">
      <w:start w:val="1"/>
      <w:numFmt w:val="decimal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651E6AF2"/>
    <w:multiLevelType w:val="multilevel"/>
    <w:tmpl w:val="930E030A"/>
    <w:lvl w:ilvl="0">
      <w:start w:val="1"/>
      <w:numFmt w:val="upperLetter"/>
      <w:lvlText w:val="%1."/>
      <w:lvlJc w:val="left"/>
      <w:pPr>
        <w:ind w:left="357" w:hanging="357"/>
      </w:pPr>
      <w:rPr>
        <w:rFonts w:hint="default"/>
        <w:color w:val="D10373" w:themeColor="accent3"/>
      </w:rPr>
    </w:lvl>
    <w:lvl w:ilvl="1">
      <w:start w:val="1"/>
      <w:numFmt w:val="decimal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82D56"/>
    <w:multiLevelType w:val="multilevel"/>
    <w:tmpl w:val="0FA8E8E6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39015500">
    <w:abstractNumId w:val="4"/>
  </w:num>
  <w:num w:numId="2" w16cid:durableId="1948731179">
    <w:abstractNumId w:val="8"/>
  </w:num>
  <w:num w:numId="3" w16cid:durableId="2001616486">
    <w:abstractNumId w:val="9"/>
  </w:num>
  <w:num w:numId="4" w16cid:durableId="432869745">
    <w:abstractNumId w:val="2"/>
  </w:num>
  <w:num w:numId="5" w16cid:durableId="649141487">
    <w:abstractNumId w:val="1"/>
  </w:num>
  <w:num w:numId="6" w16cid:durableId="955411976">
    <w:abstractNumId w:val="7"/>
  </w:num>
  <w:num w:numId="7" w16cid:durableId="1183204470">
    <w:abstractNumId w:val="9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310600674">
    <w:abstractNumId w:val="9"/>
  </w:num>
  <w:num w:numId="9" w16cid:durableId="1108695848">
    <w:abstractNumId w:val="9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142887622">
    <w:abstractNumId w:val="3"/>
  </w:num>
  <w:num w:numId="11" w16cid:durableId="1459030223">
    <w:abstractNumId w:val="5"/>
  </w:num>
  <w:num w:numId="12" w16cid:durableId="842672974">
    <w:abstractNumId w:val="6"/>
  </w:num>
  <w:num w:numId="13" w16cid:durableId="50444520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A6"/>
    <w:rsid w:val="00003EE7"/>
    <w:rsid w:val="0000481D"/>
    <w:rsid w:val="0000591C"/>
    <w:rsid w:val="000462EA"/>
    <w:rsid w:val="000533A6"/>
    <w:rsid w:val="00065B95"/>
    <w:rsid w:val="00074265"/>
    <w:rsid w:val="0009208B"/>
    <w:rsid w:val="000A3521"/>
    <w:rsid w:val="000A5B6F"/>
    <w:rsid w:val="000B1790"/>
    <w:rsid w:val="000B5728"/>
    <w:rsid w:val="000C696F"/>
    <w:rsid w:val="000D2947"/>
    <w:rsid w:val="000E7422"/>
    <w:rsid w:val="000F6A2F"/>
    <w:rsid w:val="00131B0C"/>
    <w:rsid w:val="001330EE"/>
    <w:rsid w:val="001553E5"/>
    <w:rsid w:val="00164A5A"/>
    <w:rsid w:val="00164D00"/>
    <w:rsid w:val="001909FA"/>
    <w:rsid w:val="001A3AED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175"/>
    <w:rsid w:val="002C18F9"/>
    <w:rsid w:val="002C3B42"/>
    <w:rsid w:val="002C5BCD"/>
    <w:rsid w:val="002D309F"/>
    <w:rsid w:val="002E5AD3"/>
    <w:rsid w:val="002F139A"/>
    <w:rsid w:val="0030498F"/>
    <w:rsid w:val="003112D4"/>
    <w:rsid w:val="00324552"/>
    <w:rsid w:val="003315FD"/>
    <w:rsid w:val="00332262"/>
    <w:rsid w:val="00333810"/>
    <w:rsid w:val="003455CC"/>
    <w:rsid w:val="003517E2"/>
    <w:rsid w:val="00357325"/>
    <w:rsid w:val="0039715C"/>
    <w:rsid w:val="003A710B"/>
    <w:rsid w:val="003B4C38"/>
    <w:rsid w:val="003D43F1"/>
    <w:rsid w:val="003E0DF3"/>
    <w:rsid w:val="003F4BE5"/>
    <w:rsid w:val="004233BD"/>
    <w:rsid w:val="0043632B"/>
    <w:rsid w:val="004413A6"/>
    <w:rsid w:val="00453444"/>
    <w:rsid w:val="00456E14"/>
    <w:rsid w:val="00462C3F"/>
    <w:rsid w:val="00466947"/>
    <w:rsid w:val="00491257"/>
    <w:rsid w:val="004978C9"/>
    <w:rsid w:val="004A66CC"/>
    <w:rsid w:val="004B2B8C"/>
    <w:rsid w:val="004B5062"/>
    <w:rsid w:val="004D3F5F"/>
    <w:rsid w:val="004F4BD5"/>
    <w:rsid w:val="0051293A"/>
    <w:rsid w:val="00516D28"/>
    <w:rsid w:val="00543797"/>
    <w:rsid w:val="00546301"/>
    <w:rsid w:val="00553659"/>
    <w:rsid w:val="00554567"/>
    <w:rsid w:val="00556B81"/>
    <w:rsid w:val="00560AD4"/>
    <w:rsid w:val="00596F2C"/>
    <w:rsid w:val="005A77F5"/>
    <w:rsid w:val="005B1154"/>
    <w:rsid w:val="005C5854"/>
    <w:rsid w:val="00615126"/>
    <w:rsid w:val="00625147"/>
    <w:rsid w:val="00634010"/>
    <w:rsid w:val="00636359"/>
    <w:rsid w:val="00636E93"/>
    <w:rsid w:val="00657B89"/>
    <w:rsid w:val="00660064"/>
    <w:rsid w:val="00666B06"/>
    <w:rsid w:val="00682E6E"/>
    <w:rsid w:val="006A30F8"/>
    <w:rsid w:val="006B5243"/>
    <w:rsid w:val="006C5518"/>
    <w:rsid w:val="006D2B89"/>
    <w:rsid w:val="0070183B"/>
    <w:rsid w:val="007031F9"/>
    <w:rsid w:val="00724734"/>
    <w:rsid w:val="007724A5"/>
    <w:rsid w:val="0078103C"/>
    <w:rsid w:val="00783B5A"/>
    <w:rsid w:val="0078464A"/>
    <w:rsid w:val="007E1F23"/>
    <w:rsid w:val="007F759E"/>
    <w:rsid w:val="00803858"/>
    <w:rsid w:val="00853128"/>
    <w:rsid w:val="0085500F"/>
    <w:rsid w:val="00894D67"/>
    <w:rsid w:val="008B3C26"/>
    <w:rsid w:val="008E73E6"/>
    <w:rsid w:val="008F5F26"/>
    <w:rsid w:val="0092796C"/>
    <w:rsid w:val="009425F9"/>
    <w:rsid w:val="0095653E"/>
    <w:rsid w:val="00970A13"/>
    <w:rsid w:val="00975E08"/>
    <w:rsid w:val="00984291"/>
    <w:rsid w:val="009900E8"/>
    <w:rsid w:val="00990BAE"/>
    <w:rsid w:val="00997644"/>
    <w:rsid w:val="009D0C22"/>
    <w:rsid w:val="009E3399"/>
    <w:rsid w:val="009F19E3"/>
    <w:rsid w:val="009F35B7"/>
    <w:rsid w:val="00A100A7"/>
    <w:rsid w:val="00A14111"/>
    <w:rsid w:val="00A32F78"/>
    <w:rsid w:val="00A42490"/>
    <w:rsid w:val="00AE005E"/>
    <w:rsid w:val="00AE282D"/>
    <w:rsid w:val="00AE394B"/>
    <w:rsid w:val="00B06886"/>
    <w:rsid w:val="00B13595"/>
    <w:rsid w:val="00B5204A"/>
    <w:rsid w:val="00B9235A"/>
    <w:rsid w:val="00BD2CFA"/>
    <w:rsid w:val="00BF2D13"/>
    <w:rsid w:val="00C02FE7"/>
    <w:rsid w:val="00C11982"/>
    <w:rsid w:val="00C35BD4"/>
    <w:rsid w:val="00C45E9B"/>
    <w:rsid w:val="00C70519"/>
    <w:rsid w:val="00C80CDC"/>
    <w:rsid w:val="00C87243"/>
    <w:rsid w:val="00CB544A"/>
    <w:rsid w:val="00CD65C0"/>
    <w:rsid w:val="00CE08F7"/>
    <w:rsid w:val="00CF0155"/>
    <w:rsid w:val="00CF0852"/>
    <w:rsid w:val="00D00576"/>
    <w:rsid w:val="00D0748F"/>
    <w:rsid w:val="00D173A4"/>
    <w:rsid w:val="00D21742"/>
    <w:rsid w:val="00D319F6"/>
    <w:rsid w:val="00D31C2C"/>
    <w:rsid w:val="00D32823"/>
    <w:rsid w:val="00D41421"/>
    <w:rsid w:val="00D456B3"/>
    <w:rsid w:val="00D468F1"/>
    <w:rsid w:val="00D70B62"/>
    <w:rsid w:val="00D771EE"/>
    <w:rsid w:val="00D97DFF"/>
    <w:rsid w:val="00E24AAC"/>
    <w:rsid w:val="00E47365"/>
    <w:rsid w:val="00E614A0"/>
    <w:rsid w:val="00E835C0"/>
    <w:rsid w:val="00E852A1"/>
    <w:rsid w:val="00EE2D00"/>
    <w:rsid w:val="00EE71CF"/>
    <w:rsid w:val="00EF5A54"/>
    <w:rsid w:val="00F00851"/>
    <w:rsid w:val="00F14B05"/>
    <w:rsid w:val="00F32981"/>
    <w:rsid w:val="00F71002"/>
    <w:rsid w:val="00F75A29"/>
    <w:rsid w:val="00F776B1"/>
    <w:rsid w:val="00F80751"/>
    <w:rsid w:val="00FD08A6"/>
    <w:rsid w:val="00FD1789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1800F1"/>
  <w15:chartTrackingRefBased/>
  <w15:docId w15:val="{D061724D-AE90-4BF3-A0B8-D67B50D8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Body Text - IPC"/>
    <w:uiPriority w:val="4"/>
    <w:qFormat/>
    <w:rsid w:val="000533A6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D771EE"/>
    <w:pPr>
      <w:keepNext/>
      <w:keepLines/>
      <w:numPr>
        <w:numId w:val="8"/>
      </w:numPr>
      <w:spacing w:before="24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D771EE"/>
    <w:pPr>
      <w:keepNext/>
      <w:keepLines/>
      <w:numPr>
        <w:ilvl w:val="1"/>
        <w:numId w:val="8"/>
      </w:numPr>
      <w:spacing w:before="2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D771EE"/>
    <w:pPr>
      <w:keepNext/>
      <w:keepLines/>
      <w:numPr>
        <w:ilvl w:val="2"/>
        <w:numId w:val="8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D771EE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D771EE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D771EE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D771EE"/>
    <w:pPr>
      <w:numPr>
        <w:ilvl w:val="3"/>
        <w:numId w:val="9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D771EE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Boldbodytext">
    <w:name w:val="Bold body text"/>
    <w:basedOn w:val="Normal"/>
    <w:link w:val="BoldbodytextChar"/>
    <w:uiPriority w:val="4"/>
    <w:rsid w:val="00453444"/>
    <w:rPr>
      <w:b/>
      <w:bCs/>
    </w:rPr>
  </w:style>
  <w:style w:type="character" w:customStyle="1" w:styleId="BoldbodytextChar">
    <w:name w:val="Bold body text Char"/>
    <w:basedOn w:val="DefaultParagraphFont"/>
    <w:link w:val="Boldbodytext"/>
    <w:uiPriority w:val="4"/>
    <w:rsid w:val="00453444"/>
    <w:rPr>
      <w:b/>
      <w:bCs/>
    </w:rPr>
  </w:style>
  <w:style w:type="paragraph" w:customStyle="1" w:styleId="Title-IPC">
    <w:name w:val="Title - IPC"/>
    <w:basedOn w:val="Heading2"/>
    <w:link w:val="Title-IPCChar"/>
    <w:uiPriority w:val="4"/>
    <w:qFormat/>
    <w:rsid w:val="007F759E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DefaultParagraphFont"/>
    <w:link w:val="Title-IPC"/>
    <w:uiPriority w:val="4"/>
    <w:rsid w:val="007F759E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Spacebelowatable">
    <w:name w:val="Space below a table"/>
    <w:basedOn w:val="Normal"/>
    <w:link w:val="SpacebelowatableChar"/>
    <w:uiPriority w:val="4"/>
    <w:qFormat/>
    <w:rsid w:val="00FE0262"/>
    <w:pPr>
      <w:spacing w:after="0"/>
    </w:pPr>
  </w:style>
  <w:style w:type="character" w:customStyle="1" w:styleId="SpacebelowatableChar">
    <w:name w:val="Space below a table Char"/>
    <w:basedOn w:val="DefaultParagraphFont"/>
    <w:link w:val="Spacebelowatable"/>
    <w:uiPriority w:val="4"/>
    <w:rsid w:val="00FE0262"/>
  </w:style>
  <w:style w:type="character" w:styleId="UnresolvedMention">
    <w:name w:val="Unresolved Mention"/>
    <w:basedOn w:val="DefaultParagraphFont"/>
    <w:uiPriority w:val="99"/>
    <w:semiHidden/>
    <w:unhideWhenUsed/>
    <w:rsid w:val="00516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.org.uk/co-production/what-ho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ingsfund.org.uk/blog/2023/09/ethnic-inequalities-mortality-englan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ingsfund.org.uk/blog/2023/09/ethnic-inequalities-mortality-englan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ass.org.uk/media/4576/commissioning-for-better-outcomes-a-route-map-301014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2D515-8A0B-49A2-9B10-4D46872E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</Template>
  <TotalTime>0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Amy Harmsworth</cp:lastModifiedBy>
  <cp:revision>6</cp:revision>
  <dcterms:created xsi:type="dcterms:W3CDTF">2023-10-26T11:23:00Z</dcterms:created>
  <dcterms:modified xsi:type="dcterms:W3CDTF">2024-09-05T08:22:00Z</dcterms:modified>
</cp:coreProperties>
</file>