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A7" w:rsidRDefault="009500E9">
      <w:pPr>
        <w:pStyle w:val="Heading1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C</w:t>
      </w:r>
      <w:r w:rsidR="00B75821">
        <w:rPr>
          <w:rFonts w:ascii="Arial" w:eastAsia="Arial" w:hAnsi="Arial" w:cs="Arial"/>
          <w:color w:val="000000"/>
          <w:sz w:val="34"/>
          <w:szCs w:val="34"/>
        </w:rPr>
        <w:t>reating a bibliography from your Aspire reading list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There’s no need to maintain separate Word or PDF </w:t>
      </w:r>
      <w:r>
        <w:rPr>
          <w:rFonts w:ascii="Arial" w:eastAsia="Arial" w:hAnsi="Arial" w:cs="Arial"/>
        </w:rPr>
        <w:t>bibliographies</w:t>
      </w:r>
      <w:r>
        <w:rPr>
          <w:rFonts w:ascii="Arial" w:eastAsia="Arial" w:hAnsi="Arial" w:cs="Arial"/>
          <w:color w:val="000000"/>
        </w:rPr>
        <w:t xml:space="preserve"> in course or module handbooks with Aspire – you can just provide a link for students to your list, in the format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https://brookes.rl.talis.com/modules/modulecodehere.html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(replacing </w:t>
      </w:r>
      <w:r>
        <w:rPr>
          <w:rFonts w:ascii="Arial" w:eastAsia="Arial" w:hAnsi="Arial" w:cs="Arial"/>
          <w:i/>
        </w:rPr>
        <w:t>modulecodehere</w:t>
      </w:r>
      <w:r>
        <w:rPr>
          <w:rFonts w:ascii="Arial" w:eastAsia="Arial" w:hAnsi="Arial" w:cs="Arial"/>
          <w:color w:val="000000"/>
        </w:rPr>
        <w:t xml:space="preserve"> with your</w:t>
      </w:r>
      <w:r>
        <w:rPr>
          <w:rFonts w:ascii="Arial" w:eastAsia="Arial" w:hAnsi="Arial" w:cs="Arial"/>
        </w:rPr>
        <w:t xml:space="preserve"> code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U</w:t>
      </w:r>
      <w:r>
        <w:rPr>
          <w:rFonts w:ascii="Arial" w:eastAsia="Arial" w:hAnsi="Arial" w:cs="Arial"/>
        </w:rPr>
        <w:t xml:space="preserve">niversity TLEC guidance says that handbooks should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contain alternative versi</w:t>
      </w:r>
      <w:r>
        <w:rPr>
          <w:rFonts w:ascii="Arial" w:eastAsia="Arial" w:hAnsi="Arial" w:cs="Arial"/>
        </w:rPr>
        <w:t>ons of reading lists - the reading list should be provided in Aspire and linked to</w:t>
      </w:r>
      <w:r>
        <w:rPr>
          <w:rFonts w:ascii="Arial" w:eastAsia="Arial" w:hAnsi="Arial" w:cs="Arial"/>
          <w:color w:val="000000"/>
        </w:rPr>
        <w:t xml:space="preserve">. 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 students always have the option of viewing your reading list in Harvard, APA or MLA format by using the </w:t>
      </w:r>
      <w:r>
        <w:rPr>
          <w:rFonts w:ascii="Arial" w:eastAsia="Arial" w:hAnsi="Arial" w:cs="Arial"/>
          <w:b/>
          <w:color w:val="0000FF"/>
        </w:rPr>
        <w:t>Citation Style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>option at the top of the list and selecting the referencing style required.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However, if you do want a </w:t>
      </w:r>
      <w:r>
        <w:rPr>
          <w:rFonts w:ascii="Arial" w:eastAsia="Arial" w:hAnsi="Arial" w:cs="Arial"/>
        </w:rPr>
        <w:t>PDF of your list formatted in a given referencing style, this is easy to create: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 w:rsidP="0095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 by going to Aspire from the Library home page (LibrarySearch - Re</w:t>
      </w:r>
      <w:r>
        <w:rPr>
          <w:rFonts w:ascii="Arial" w:eastAsia="Arial" w:hAnsi="Arial" w:cs="Arial"/>
          <w:color w:val="000000"/>
        </w:rPr>
        <w:t xml:space="preserve">ading Lists) or directly to </w:t>
      </w:r>
      <w:hyperlink r:id="rId10" w:history="1">
        <w:r w:rsidR="009500E9" w:rsidRPr="009500E9">
          <w:rPr>
            <w:rStyle w:val="Hyperlink"/>
            <w:rFonts w:ascii="Arial" w:hAnsi="Arial" w:cs="Arial"/>
          </w:rPr>
          <w:t>https://brookes.rl.talis.com/</w:t>
        </w:r>
      </w:hyperlink>
      <w:r w:rsidR="009500E9">
        <w:t xml:space="preserve"> 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Search for the list you want to create a bibliography from and click through to it</w:t>
      </w:r>
    </w:p>
    <w:p w:rsidR="009500E9" w:rsidRDefault="009500E9" w:rsidP="009500E9">
      <w:pPr>
        <w:pStyle w:val="ListParagraph"/>
        <w:rPr>
          <w:rFonts w:ascii="Arial" w:eastAsia="Arial" w:hAnsi="Arial" w:cs="Arial"/>
          <w:color w:val="000000"/>
        </w:rPr>
      </w:pPr>
    </w:p>
    <w:p w:rsidR="009500E9" w:rsidRDefault="009500E9" w:rsidP="0095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logged in to Aspire, either log out or switch to Student View (using View - As Student, top right)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:rsidR="009906A7" w:rsidRPr="009500E9" w:rsidRDefault="00B75821" w:rsidP="0095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 list display into the referencing style you require, using the </w:t>
      </w:r>
      <w:r>
        <w:rPr>
          <w:rFonts w:ascii="Arial" w:eastAsia="Arial" w:hAnsi="Arial" w:cs="Arial"/>
          <w:b/>
          <w:color w:val="0000FF"/>
        </w:rPr>
        <w:t>Citation Style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option</w:t>
      </w:r>
    </w:p>
    <w:p w:rsidR="009906A7" w:rsidRDefault="00B7582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4619625</wp:posOffset>
            </wp:positionH>
            <wp:positionV relativeFrom="paragraph">
              <wp:posOffset>244878</wp:posOffset>
            </wp:positionV>
            <wp:extent cx="1800225" cy="2571750"/>
            <wp:effectExtent l="12700" t="12700" r="12700" b="12700"/>
            <wp:wrapSquare wrapText="bothSides" distT="114300" distB="114300" distL="114300" distR="114300"/>
            <wp:docPr id="7" name="image2.png" descr="The View &amp; Export menu, available in Student view (or when logged out) in Aspire. The options are: View - Recent changes. Export: RIS, CSV, PDF-List, PDF-Bibliograph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he View &amp; Export menu, available in Student view (or when logged out) in Aspire. The options are: View - Recent changes. Export: RIS, CSV, PDF-List, PDF-Bibliography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717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906A7" w:rsidRDefault="0095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top right, go to</w:t>
      </w:r>
      <w:r w:rsidR="00B75821">
        <w:rPr>
          <w:rFonts w:ascii="Arial" w:eastAsia="Arial" w:hAnsi="Arial" w:cs="Arial"/>
        </w:rPr>
        <w:t xml:space="preserve"> </w:t>
      </w:r>
      <w:r w:rsidR="00B75821">
        <w:rPr>
          <w:rFonts w:ascii="Arial" w:eastAsia="Arial" w:hAnsi="Arial" w:cs="Arial"/>
          <w:b/>
          <w:color w:val="0000FF"/>
        </w:rPr>
        <w:t>View &amp; Export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(if instead you see </w:t>
      </w:r>
      <w:r>
        <w:rPr>
          <w:rFonts w:ascii="Arial" w:eastAsia="Arial" w:hAnsi="Arial" w:cs="Arial"/>
          <w:b/>
          <w:color w:val="000000" w:themeColor="text1"/>
        </w:rPr>
        <w:t>View</w:t>
      </w:r>
      <w:r>
        <w:rPr>
          <w:rFonts w:ascii="Arial" w:eastAsia="Arial" w:hAnsi="Arial" w:cs="Arial"/>
          <w:color w:val="000000" w:themeColor="text1"/>
        </w:rPr>
        <w:t>, see step 3)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906A7" w:rsidRDefault="00B7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Pull down the View &amp; Export menu 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:rsidR="009906A7" w:rsidRDefault="00B7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PDF - List</w:t>
      </w:r>
      <w:r>
        <w:rPr>
          <w:rFonts w:ascii="Arial" w:eastAsia="Arial" w:hAnsi="Arial" w:cs="Arial"/>
        </w:rPr>
        <w:t xml:space="preserve"> will create a PDF with the references in the order they appear on the list. </w:t>
      </w:r>
      <w:r>
        <w:rPr>
          <w:rFonts w:ascii="Arial" w:eastAsia="Arial" w:hAnsi="Arial" w:cs="Arial"/>
          <w:b/>
        </w:rPr>
        <w:t>PDF - Bibliography</w:t>
      </w:r>
      <w:r>
        <w:rPr>
          <w:rFonts w:ascii="Arial" w:eastAsia="Arial" w:hAnsi="Arial" w:cs="Arial"/>
        </w:rPr>
        <w:t xml:space="preserve"> will create one with the references in the order dictated by your chosen referencing style (usually alphabetically by author)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:rsidR="009906A7" w:rsidRPr="009500E9" w:rsidRDefault="00B75821" w:rsidP="00950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can also use the </w:t>
      </w:r>
      <w:r>
        <w:rPr>
          <w:rFonts w:ascii="Arial" w:eastAsia="Arial" w:hAnsi="Arial" w:cs="Arial"/>
          <w:b/>
        </w:rPr>
        <w:t>RIS</w:t>
      </w:r>
      <w:r>
        <w:rPr>
          <w:rFonts w:ascii="Arial" w:eastAsia="Arial" w:hAnsi="Arial" w:cs="Arial"/>
        </w:rPr>
        <w:t xml:space="preserve"> option</w:t>
      </w:r>
      <w:r>
        <w:rPr>
          <w:rFonts w:ascii="Arial" w:eastAsia="Arial" w:hAnsi="Arial" w:cs="Arial"/>
          <w:color w:val="000000"/>
        </w:rPr>
        <w:t xml:space="preserve"> to create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color w:val="000000"/>
        </w:rPr>
        <w:t xml:space="preserve">RIS file of </w:t>
      </w:r>
      <w:r>
        <w:rPr>
          <w:rFonts w:ascii="Arial" w:eastAsia="Arial" w:hAnsi="Arial" w:cs="Arial"/>
        </w:rPr>
        <w:t>the references,</w:t>
      </w:r>
      <w:r>
        <w:rPr>
          <w:rFonts w:ascii="Arial" w:eastAsia="Arial" w:hAnsi="Arial" w:cs="Arial"/>
          <w:color w:val="000000"/>
        </w:rPr>
        <w:t xml:space="preserve"> which you can then import into EndNote</w:t>
      </w:r>
      <w:r>
        <w:rPr>
          <w:rFonts w:ascii="Arial" w:eastAsia="Arial" w:hAnsi="Arial" w:cs="Arial"/>
        </w:rPr>
        <w:t xml:space="preserve">, or the </w:t>
      </w:r>
      <w:r>
        <w:rPr>
          <w:rFonts w:ascii="Arial" w:eastAsia="Arial" w:hAnsi="Arial" w:cs="Arial"/>
          <w:b/>
        </w:rPr>
        <w:t>CSV</w:t>
      </w:r>
      <w:r>
        <w:rPr>
          <w:rFonts w:ascii="Arial" w:eastAsia="Arial" w:hAnsi="Arial" w:cs="Arial"/>
        </w:rPr>
        <w:t xml:space="preserve"> option to create a spreadsheet for importing into Excel or Google Sheets.</w:t>
      </w:r>
      <w:bookmarkStart w:id="1" w:name="_GoBack"/>
      <w:bookmarkEnd w:id="1"/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may wish to do some tidying up of duplicates – for example, if you have both a print book and an e-book of the same title on your reading list as s</w:t>
      </w:r>
      <w:r>
        <w:rPr>
          <w:rFonts w:ascii="Arial" w:eastAsia="Arial" w:hAnsi="Arial" w:cs="Arial"/>
        </w:rPr>
        <w:t>eparate entries</w:t>
      </w:r>
      <w:r>
        <w:rPr>
          <w:rFonts w:ascii="Arial" w:eastAsia="Arial" w:hAnsi="Arial" w:cs="Arial"/>
          <w:color w:val="000000"/>
        </w:rPr>
        <w:t>, that bo</w:t>
      </w:r>
      <w:r w:rsidR="009500E9">
        <w:rPr>
          <w:rFonts w:ascii="Arial" w:eastAsia="Arial" w:hAnsi="Arial" w:cs="Arial"/>
          <w:color w:val="000000"/>
        </w:rPr>
        <w:t xml:space="preserve">ok will </w:t>
      </w:r>
      <w:r>
        <w:rPr>
          <w:rFonts w:ascii="Arial" w:eastAsia="Arial" w:hAnsi="Arial" w:cs="Arial"/>
          <w:color w:val="000000"/>
        </w:rPr>
        <w:t>appear twice in the bibliography.</w:t>
      </w:r>
      <w:r w:rsidR="009500E9">
        <w:rPr>
          <w:rFonts w:ascii="Arial" w:eastAsia="Arial" w:hAnsi="Arial" w:cs="Arial"/>
          <w:color w:val="000000"/>
        </w:rPr>
        <w:t xml:space="preserve"> This can be avoided by having only the print bookmark on the list, with the “Online Resource” box in the bookmark ticked to give access to the e-book version.</w:t>
      </w:r>
    </w:p>
    <w:p w:rsidR="009906A7" w:rsidRDefault="009906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906A7" w:rsidRDefault="00B7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any of the references don’t look correct, contact your Academic Liaison Librarian for help, as the metadata in your bookmarks may need amending. Contact details available at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https://www.brookes.ac.uk/library/resources-and-services/course-resource-help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</w:t>
      </w:r>
    </w:p>
    <w:sectPr w:rsidR="009906A7">
      <w:headerReference w:type="first" r:id="rId13"/>
      <w:footerReference w:type="first" r:id="rId14"/>
      <w:pgSz w:w="11906" w:h="16838"/>
      <w:pgMar w:top="851" w:right="851" w:bottom="851" w:left="851" w:header="19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21" w:rsidRDefault="00B75821">
      <w:r>
        <w:separator/>
      </w:r>
    </w:p>
  </w:endnote>
  <w:endnote w:type="continuationSeparator" w:id="0">
    <w:p w:rsidR="00B75821" w:rsidRDefault="00B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E9" w:rsidRDefault="009500E9" w:rsidP="009500E9">
    <w:pPr>
      <w:jc w:val="center"/>
      <w:rPr>
        <w:rFonts w:ascii="Arial" w:eastAsia="Times New Roman" w:hAnsi="Arial" w:cs="Arial"/>
        <w:color w:val="000000"/>
        <w:sz w:val="18"/>
        <w:szCs w:val="18"/>
      </w:rPr>
    </w:pPr>
    <w:r w:rsidRPr="005B4BBA">
      <w:rPr>
        <w:rFonts w:ascii="Arial" w:eastAsia="Times New Roman" w:hAnsi="Arial" w:cs="Arial"/>
        <w:color w:val="000000"/>
        <w:sz w:val="18"/>
        <w:szCs w:val="18"/>
      </w:rPr>
      <w:t xml:space="preserve">Aspire home page: </w:t>
    </w:r>
    <w:hyperlink r:id="rId1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brookes.rl.talis.com/index.html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Aspire help guides: </w:t>
    </w:r>
    <w:hyperlink r:id="rId2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bit.ly/aspirehelp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Moodle course: </w:t>
    </w:r>
    <w:hyperlink r:id="rId3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bit.ly/aspiremoodle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> </w:t>
    </w:r>
  </w:p>
  <w:p w:rsidR="009500E9" w:rsidRPr="005B4BBA" w:rsidRDefault="009500E9" w:rsidP="009500E9">
    <w:pPr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500E9" w:rsidRPr="009A306F" w:rsidRDefault="009500E9" w:rsidP="009500E9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5B4BBA">
      <w:rPr>
        <w:rFonts w:ascii="Arial" w:eastAsia="Times New Roman" w:hAnsi="Arial" w:cs="Arial"/>
        <w:color w:val="000000"/>
        <w:sz w:val="16"/>
        <w:szCs w:val="16"/>
      </w:rPr>
      <w:t>Hazel Rothera, 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21" w:rsidRDefault="00B75821">
      <w:r>
        <w:separator/>
      </w:r>
    </w:p>
  </w:footnote>
  <w:footnote w:type="continuationSeparator" w:id="0">
    <w:p w:rsidR="00B75821" w:rsidRDefault="00B7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A7" w:rsidRDefault="00B758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62325" cy="723900"/>
              <wp:effectExtent l="0" t="0" r="0" b="0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43275" h="704850" extrusionOk="0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3343275" y="704850"/>
                            </a:lnTo>
                            <a:lnTo>
                              <a:pt x="3343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06A7" w:rsidRDefault="00B75821">
                          <w:pPr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62325" cy="7239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325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7pt;margin-top:-69.8pt;width:141.75pt;height:59.25pt;z-index:251659264;mso-position-horizontal:absolute;mso-position-horizontal-relative:margin;mso-position-vertical:absolute;mso-position-vertical-relative:text" filled="f" stroked="f">
          <v:textbox>
            <w:txbxContent>
              <w:p w:rsidR="00B3098C" w:rsidRDefault="00B75821">
                <w:r w:rsidRPr="00B3098C">
                  <w:rPr>
                    <w:noProof/>
                  </w:rPr>
                  <w:drawing>
                    <wp:inline distT="0" distB="0" distL="0" distR="0">
                      <wp:extent cx="1581150" cy="629114"/>
                      <wp:effectExtent l="19050" t="0" r="0" b="0"/>
                      <wp:docPr id="2" name="Picture 1" descr="LogoBLACKmid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BLACKmid.tif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5366" cy="630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77F"/>
    <w:multiLevelType w:val="multilevel"/>
    <w:tmpl w:val="522AA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6A7"/>
    <w:rsid w:val="009500E9"/>
    <w:rsid w:val="009906A7"/>
    <w:rsid w:val="00B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1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1F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rookes.ac.uk/library/resources-and-services/course-resource-hel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rookes.rl.tali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ookes.rl.talis.com/modules/modulecodehere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aspiremoodle" TargetMode="External"/><Relationship Id="rId2" Type="http://schemas.openxmlformats.org/officeDocument/2006/relationships/hyperlink" Target="https://bit.ly/aspirehelp" TargetMode="External"/><Relationship Id="rId1" Type="http://schemas.openxmlformats.org/officeDocument/2006/relationships/hyperlink" Target="https://brookes.rl.talis.com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5UE+sdu65yihbj+D39p1trpg==">AMUW2mW1Z4+HU6JhFp14o2GpTbw6ugCg6L2t3urrwBnIFpLHiOKjBlDz/ELm2tMI8S95mBiz0Ofwo/VD+iZevhMXNXwStzwNAgAIYy9rcZOKmv7kpL8ET6+IO3NET1ecy8jNVtXNcumW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2</cp:revision>
  <dcterms:created xsi:type="dcterms:W3CDTF">2022-04-21T16:26:00Z</dcterms:created>
  <dcterms:modified xsi:type="dcterms:W3CDTF">2022-04-21T16:26:00Z</dcterms:modified>
</cp:coreProperties>
</file>