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B59DC" w:rsidRDefault="00741308">
      <w:r>
        <w:rPr>
          <w:noProof/>
          <w:lang w:val="en-US"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88" type="#_x0000_t202" style="position:absolute;margin-left:279pt;margin-top:43.9pt;width:207pt;height:54pt;z-index:251658240;mso-wrap-edited:f;mso-position-horizontal:absolute;mso-position-vertical:absolute;mso-position-vertical-relative:page" wrapcoords="0 0 21600 0 21600 21600 0 21600 0 0" filled="f" stroked="f">
            <v:textbox style="mso-next-textbox:#_x0000_s1088" inset="0,0,0,0">
              <w:txbxContent>
                <w:p w:rsidR="00741308" w:rsidRDefault="00741308" w:rsidP="00741308">
                  <w:pPr>
                    <w:tabs>
                      <w:tab w:val="decimal" w:pos="142"/>
                      <w:tab w:val="decimal" w:pos="284"/>
                      <w:tab w:val="decimal" w:pos="426"/>
                    </w:tabs>
                    <w:spacing w:line="240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Wheatley Campus   Wheatley   Oxford OX33 1HX   UK</w:t>
                  </w:r>
                </w:p>
                <w:p w:rsidR="00741308" w:rsidRDefault="00741308" w:rsidP="00741308">
                  <w:pPr>
                    <w:tabs>
                      <w:tab w:val="decimal" w:pos="142"/>
                      <w:tab w:val="decimal" w:pos="284"/>
                      <w:tab w:val="decimal" w:pos="426"/>
                    </w:tabs>
                    <w:spacing w:line="240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ab/>
                    <w:t xml:space="preserve">    t. +44 (0)1865 485910   f. +44 (0)1865 485937</w:t>
                  </w:r>
                </w:p>
                <w:p w:rsidR="00741308" w:rsidRDefault="00741308" w:rsidP="00741308">
                  <w:pPr>
                    <w:tabs>
                      <w:tab w:val="decimal" w:pos="142"/>
                      <w:tab w:val="decimal" w:pos="284"/>
                      <w:tab w:val="decimal" w:pos="426"/>
                    </w:tabs>
                    <w:spacing w:line="240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ocsld@brookes.ac.uk</w:t>
                  </w:r>
                </w:p>
                <w:p w:rsidR="00741308" w:rsidRDefault="00741308" w:rsidP="00741308">
                  <w:pPr>
                    <w:tabs>
                      <w:tab w:val="decimal" w:pos="142"/>
                      <w:tab w:val="decimal" w:pos="284"/>
                      <w:tab w:val="decimal" w:pos="426"/>
                      <w:tab w:val="decimal" w:pos="567"/>
                    </w:tabs>
                    <w:spacing w:line="240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www.brookes.ac.uk/services/ocsd</w:t>
                  </w:r>
                </w:p>
              </w:txbxContent>
            </v:textbox>
            <w10:wrap type="tight" anchory="page"/>
            <w10:anchorlock/>
          </v:shape>
        </w:pict>
      </w:r>
      <w:r>
        <w:rPr>
          <w:noProof/>
        </w:rPr>
        <w:pict>
          <v:group id="_x0000_s1085" style="position:absolute;margin-left:-27pt;margin-top:-42.5pt;width:549pt;height:11in;z-index:251656704" coordorigin="594,568" coordsize="10980,15840">
            <v:shape id="_x0000_s1028" type="#_x0000_t202" style="position:absolute;left:594;top:568;width:4860;height:1080" stroked="f">
              <v:textbox style="mso-next-textbox:#_x0000_s1028">
                <w:txbxContent>
                  <w:p w:rsidR="0046531B" w:rsidRPr="0046531B" w:rsidRDefault="00741308" w:rsidP="004E7F25">
                    <w:pPr>
                      <w:rPr>
                        <w:color w:val="A22B29"/>
                        <w:sz w:val="36"/>
                        <w:szCs w:val="36"/>
                      </w:rPr>
                    </w:pPr>
                    <w:r w:rsidRPr="0046531B">
                      <w:rPr>
                        <w:color w:val="A22B29"/>
                        <w:sz w:val="36"/>
                        <w:szCs w:val="36"/>
                      </w:rPr>
                      <w:t xml:space="preserve">Oxford Centre for Staff and </w:t>
                    </w:r>
                  </w:p>
                  <w:p w:rsidR="004E7F25" w:rsidRPr="0046531B" w:rsidRDefault="004E7F25" w:rsidP="004E7F25">
                    <w:pPr>
                      <w:rPr>
                        <w:color w:val="A22B29"/>
                        <w:sz w:val="36"/>
                        <w:szCs w:val="36"/>
                      </w:rPr>
                    </w:pPr>
                    <w:r w:rsidRPr="0046531B">
                      <w:rPr>
                        <w:color w:val="A22B29"/>
                        <w:sz w:val="36"/>
                        <w:szCs w:val="36"/>
                      </w:rPr>
                      <w:t>Learning Development</w:t>
                    </w:r>
                  </w:p>
                </w:txbxContent>
              </v:textbox>
            </v:shape>
            <v:shape id="_x0000_s1057" type="#_x0000_t202" style="position:absolute;left:8874;top:15328;width:2700;height:1080" stroked="f">
              <v:textbox style="mso-next-textbox:#_x0000_s1057">
                <w:txbxContent>
                  <w:p w:rsidR="004E7F25" w:rsidRDefault="00741308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1511300" cy="596900"/>
                          <wp:effectExtent l="25400" t="0" r="0" b="0"/>
                          <wp:docPr id="1" name="Picture 1" descr="New logo colour low r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ew logo colour low r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1300" cy="596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63" style="position:absolute;left:594;top:568;width:10800;height:15840" coordorigin="540,540" coordsize="10800,15840">
              <v:line id="_x0000_s1046" style="position:absolute" from="540,1620" to="4860,1620"/>
              <v:line id="_x0000_s1047" style="position:absolute;flip:y" from="4860,540" to="5580,1620"/>
              <v:line id="_x0000_s1048" style="position:absolute" from="5580,540" to="11340,540"/>
              <v:line id="_x0000_s1052" style="position:absolute" from="540,1620" to="540,16380"/>
              <v:line id="_x0000_s1053" style="position:absolute" from="540,16380" to="7920,16380"/>
              <v:line id="_x0000_s1054" style="position:absolute" from="11340,540" to="11340,15120"/>
              <v:line id="_x0000_s1058" style="position:absolute;flip:y" from="7920,15120" to="8820,16380"/>
              <v:line id="_x0000_s1059" style="position:absolute" from="8820,15120" to="11340,15120"/>
            </v:group>
            <v:shape id="_x0000_s1062" type="#_x0000_t202" style="position:absolute;left:954;top:15868;width:6120;height:360" stroked="f">
              <v:textbox style="mso-next-textbox:#_x0000_s1062">
                <w:txbxContent>
                  <w:p w:rsidR="004E7F25" w:rsidRPr="00881E9B" w:rsidRDefault="004E7F25">
                    <w:pPr>
                      <w:rPr>
                        <w:color w:val="002A77"/>
                      </w:rPr>
                    </w:pPr>
                    <w:r w:rsidRPr="00881E9B">
                      <w:rPr>
                        <w:color w:val="002A77"/>
                      </w:rPr>
                      <w:t>www.brookes.ac.uk/services/ocsd</w:t>
                    </w:r>
                  </w:p>
                </w:txbxContent>
              </v:textbox>
            </v:shape>
          </v:group>
        </w:pict>
      </w:r>
    </w:p>
    <w:p w:rsidR="00712B09" w:rsidRDefault="00741308"/>
    <w:p w:rsidR="0096324B" w:rsidRDefault="00741308"/>
    <w:p w:rsidR="00741308" w:rsidRDefault="00741308" w:rsidP="00741308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741308" w:rsidRPr="00A47FAF" w:rsidRDefault="00741308" w:rsidP="00741308">
      <w:pPr>
        <w:jc w:val="center"/>
        <w:rPr>
          <w:rFonts w:ascii="Times" w:hAnsi="Times"/>
        </w:rPr>
      </w:pPr>
      <w:r w:rsidRPr="00A47FAF">
        <w:rPr>
          <w:rFonts w:ascii="Verdana" w:hAnsi="Verdana"/>
          <w:b/>
          <w:bCs/>
          <w:color w:val="000000"/>
          <w:sz w:val="22"/>
          <w:szCs w:val="22"/>
        </w:rPr>
        <w:t xml:space="preserve">SESE Quiz </w:t>
      </w:r>
    </w:p>
    <w:p w:rsidR="00741308" w:rsidRPr="00A47FAF" w:rsidRDefault="00741308" w:rsidP="00741308">
      <w:pPr>
        <w:spacing w:after="240"/>
        <w:rPr>
          <w:rFonts w:ascii="Times" w:hAnsi="Times"/>
        </w:rPr>
      </w:pP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rFonts w:ascii="Verdana" w:hAnsi="Verdana"/>
          <w:color w:val="000000"/>
          <w:sz w:val="22"/>
          <w:szCs w:val="22"/>
        </w:rPr>
        <w:t xml:space="preserve">1. What does </w:t>
      </w:r>
      <w:r w:rsidRPr="00A47FAF">
        <w:rPr>
          <w:rFonts w:ascii="Verdana" w:hAnsi="Verdana"/>
          <w:b/>
          <w:bCs/>
          <w:color w:val="000000"/>
          <w:sz w:val="22"/>
          <w:szCs w:val="22"/>
        </w:rPr>
        <w:t>SESE</w:t>
      </w:r>
      <w:r w:rsidRPr="00A47FAF">
        <w:rPr>
          <w:rFonts w:ascii="Verdana" w:hAnsi="Verdana"/>
          <w:color w:val="000000"/>
          <w:sz w:val="22"/>
          <w:szCs w:val="22"/>
        </w:rPr>
        <w:t xml:space="preserve"> stand for?</w:t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rFonts w:ascii="Verdana" w:hAnsi="Verdana"/>
          <w:color w:val="000000"/>
          <w:sz w:val="22"/>
          <w:szCs w:val="22"/>
        </w:rPr>
        <w:t>2</w:t>
      </w:r>
      <w:r w:rsidRPr="00A47FAF">
        <w:rPr>
          <w:rFonts w:ascii="Verdana" w:hAnsi="Verdana"/>
          <w:i/>
          <w:iCs/>
          <w:color w:val="000000"/>
          <w:sz w:val="22"/>
          <w:szCs w:val="22"/>
        </w:rPr>
        <w:t xml:space="preserve">. </w:t>
      </w:r>
      <w:r w:rsidRPr="00A47FAF">
        <w:rPr>
          <w:rFonts w:ascii="Verdana" w:hAnsi="Verdana"/>
          <w:color w:val="000000"/>
          <w:sz w:val="22"/>
          <w:szCs w:val="22"/>
        </w:rPr>
        <w:t xml:space="preserve">The SESE has 5 ‘core </w:t>
      </w:r>
      <w:r w:rsidRPr="00A47FAF">
        <w:rPr>
          <w:rFonts w:ascii="Verdana" w:hAnsi="Verdana"/>
          <w:b/>
          <w:bCs/>
          <w:color w:val="000000"/>
          <w:sz w:val="22"/>
          <w:szCs w:val="22"/>
        </w:rPr>
        <w:t>graduate attributes</w:t>
      </w:r>
      <w:r w:rsidRPr="00A47FAF">
        <w:rPr>
          <w:rFonts w:ascii="Verdana" w:hAnsi="Verdana"/>
          <w:color w:val="000000"/>
          <w:sz w:val="22"/>
          <w:szCs w:val="22"/>
        </w:rPr>
        <w:t xml:space="preserve">’: every undergraduate programme will have to include the development of each one. </w:t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rFonts w:ascii="Verdana" w:hAnsi="Verdana"/>
          <w:color w:val="000000"/>
          <w:sz w:val="22"/>
          <w:szCs w:val="22"/>
        </w:rPr>
        <w:t xml:space="preserve">Which of the following are </w:t>
      </w:r>
      <w:r w:rsidRPr="00A47FAF">
        <w:rPr>
          <w:rFonts w:ascii="Verdana" w:hAnsi="Verdana"/>
          <w:b/>
          <w:bCs/>
          <w:color w:val="000000"/>
          <w:sz w:val="22"/>
          <w:szCs w:val="22"/>
        </w:rPr>
        <w:t>NOT</w:t>
      </w:r>
      <w:r w:rsidRPr="00A47FAF">
        <w:rPr>
          <w:rFonts w:ascii="Verdana" w:hAnsi="Verdana"/>
          <w:color w:val="000000"/>
          <w:sz w:val="22"/>
          <w:szCs w:val="22"/>
        </w:rPr>
        <w:t xml:space="preserve"> among the 5 Brookes graduate attributes?</w:t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i/>
          <w:iCs/>
          <w:color w:val="000000"/>
          <w:sz w:val="22"/>
          <w:szCs w:val="22"/>
        </w:rPr>
        <w:t>    Research literacy         Workforce literacy        Academic literacy</w:t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i/>
          <w:iCs/>
          <w:color w:val="000000"/>
          <w:sz w:val="22"/>
          <w:szCs w:val="22"/>
        </w:rPr>
        <w:t>Emotional literacy        Digital literacy         Social networking literacy</w:t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i/>
          <w:iCs/>
          <w:color w:val="000000"/>
          <w:sz w:val="22"/>
          <w:szCs w:val="22"/>
        </w:rPr>
        <w:t>        Relationship literacy        Global citizenship</w:t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i/>
          <w:iCs/>
          <w:color w:val="000000"/>
          <w:sz w:val="22"/>
          <w:szCs w:val="22"/>
        </w:rPr>
        <w:t xml:space="preserve">Critical self-awareness        Interpersonal literacy    </w:t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i/>
          <w:iCs/>
          <w:color w:val="000000"/>
          <w:sz w:val="22"/>
          <w:szCs w:val="22"/>
        </w:rPr>
        <w:t>            Personal literacy        Information literacy</w:t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3. Which Brookes graduate attributes do the following describe:</w:t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i. ___________________________________________</w:t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Disciplinary and professional knowledge and skills, understanding the</w:t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epistemology and ‘landscape’ of the discipline, and what it means to think and</w:t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behave as a member of that disciplinary and/or professional community of</w:t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practice.</w:t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ii. ___________________________________________</w:t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Ability to be a critical consumer of research, and also, where possible, to design</w:t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and undertake at least a small-scale research project in the discipline, using</w:t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appropriate methodology.</w:t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iii. ____________________________________________</w:t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Understanding how one learns, the ability to assess the work of oneself and</w:t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others, and to identify one’s strengths and weaknesses. The ability to organise</w:t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oneself and perform as an autonomous, effective and independent learner. The</w:t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ability to relate to other people and function collaboratively in diverse groups,</w:t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including the development of appropriate interpersonal skills, emotional</w:t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intelligence and adaptive expertise.</w:t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iv. _____________________________________________</w:t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The functional access, skills and practices necessary to become a confident,</w:t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agile adopter of a range of technologies for personal, academic and professional</w:t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use. To be able to use appropriate technology to search for high-quality</w:t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information; critically to evaluate and engage with the information obtained;</w:t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reflect on and record learning, and professional and personal development; and</w:t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engage productively in relevant online communities.</w:t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v.  _____________________________________________</w:t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Knowledge and skills, showing cross-cultural awareness, and valuing human</w:t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diversity. The ability to work effectively, and responsibly, in a global context.</w:t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Knowledge of global perspectives on how disciplinary knowledge is represented</w:t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and understood within other cultures; cross-cultural capability beginning with an</w:t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awareness of our own culture and perspectives and the development of the</w:t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confidence to question one’s own values and those of others responsibly and</w:t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ethically; and responsible citizenship, actively engaging with issues of equity and</w:t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social justice, sustainability and the reduction of prejudice, stereotyping and</w:t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discrimination.</w:t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</w:p>
    <w:p w:rsidR="00741308" w:rsidRPr="00A47FAF" w:rsidRDefault="00741308" w:rsidP="00741308">
      <w:pPr>
        <w:jc w:val="center"/>
        <w:rPr>
          <w:rFonts w:ascii="Times" w:hAnsi="Times"/>
        </w:rPr>
      </w:pPr>
      <w:r w:rsidRPr="00A47FAF">
        <w:rPr>
          <w:b/>
          <w:bCs/>
          <w:color w:val="000000"/>
          <w:sz w:val="22"/>
          <w:szCs w:val="22"/>
        </w:rPr>
        <w:t>Focus questions</w:t>
      </w:r>
    </w:p>
    <w:p w:rsidR="00741308" w:rsidRDefault="00741308" w:rsidP="00741308"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1. Which of the graduate attributes (or parts of them) are already included in your programmes/modules/teaching?</w:t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 xml:space="preserve">2. Why do you think the University has decided to promote graduate attributes &amp; prescribe their inclusion in all undergraduate programmes? </w:t>
      </w:r>
      <w:r w:rsidRPr="00A47FAF">
        <w:rPr>
          <w:rFonts w:ascii="Times" w:hAnsi="Times"/>
        </w:rPr>
        <w:br/>
      </w:r>
      <w:r w:rsidRPr="00A47FAF">
        <w:rPr>
          <w:rFonts w:ascii="Times" w:hAnsi="Times"/>
        </w:rPr>
        <w:br/>
      </w:r>
      <w:r w:rsidRPr="00A47FAF">
        <w:rPr>
          <w:color w:val="000000"/>
          <w:sz w:val="22"/>
          <w:szCs w:val="22"/>
        </w:rPr>
        <w:t>3. What challenges, if any, do you think you might face in including them within your programmes?</w:t>
      </w:r>
    </w:p>
    <w:p w:rsidR="004E7F25" w:rsidRDefault="004E7F25"/>
    <w:sectPr w:rsidR="004E7F25" w:rsidSect="004E7F25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F28DB"/>
    <w:multiLevelType w:val="hybridMultilevel"/>
    <w:tmpl w:val="2F16A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doNotValidateAgainstSchema/>
  <w:doNotDemarcateInvalidXml/>
  <w:hdrShapeDefaults>
    <o:shapedefaults v:ext="edit" spidmax="3074">
      <o:colormenu v:ext="edit" strokecolor="none"/>
    </o:shapedefaults>
  </w:hdrShapeDefaults>
  <w:compat/>
  <w:rsids>
    <w:rsidRoot w:val="00530FF5"/>
    <w:rsid w:val="004E7F25"/>
    <w:rsid w:val="0074130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31"/>
    <w:rPr>
      <w:rFonts w:ascii="Arial" w:hAnsi="Arial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F71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1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23625"/>
    <w:rPr>
      <w:rFonts w:ascii="Arial" w:hAnsi="Arial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ocsld template.dot</Template>
  <TotalTime>0</TotalTime>
  <Pages>2</Pages>
  <Words>464</Words>
  <Characters>2648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3251</CharactersWithSpaces>
  <SharedDoc>false</SharedDoc>
  <HLinks>
    <vt:vector size="6" baseType="variant">
      <vt:variant>
        <vt:i4>3473498</vt:i4>
      </vt:variant>
      <vt:variant>
        <vt:i4>2107</vt:i4>
      </vt:variant>
      <vt:variant>
        <vt:i4>1025</vt:i4>
      </vt:variant>
      <vt:variant>
        <vt:i4>1</vt:i4>
      </vt:variant>
      <vt:variant>
        <vt:lpwstr>New logo colour low 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Smith</dc:creator>
  <cp:keywords/>
  <dc:description/>
  <cp:lastModifiedBy>Greg Benfield</cp:lastModifiedBy>
  <cp:revision>2</cp:revision>
  <dcterms:created xsi:type="dcterms:W3CDTF">2011-06-22T10:53:00Z</dcterms:created>
  <dcterms:modified xsi:type="dcterms:W3CDTF">2011-06-22T10:53:00Z</dcterms:modified>
</cp:coreProperties>
</file>