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Annual Report of the National Brewing Library at Oxford Brookes University</w:t>
      </w:r>
    </w:p>
    <w:p w:rsidR="00000000" w:rsidDel="00000000" w:rsidP="00000000" w:rsidRDefault="00000000" w:rsidRPr="00000000" w14:paraId="00000002">
      <w:pPr>
        <w:rPr/>
      </w:pPr>
      <w:r w:rsidDel="00000000" w:rsidR="00000000" w:rsidRPr="00000000">
        <w:rPr>
          <w:rtl w:val="0"/>
        </w:rPr>
        <w:t xml:space="preserve">October 2018 - September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Management Committee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Management Committee met in November 2018 and May 2019. Matters considered and progressed during the year included: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2"/>
        </w:numPr>
        <w:spacing w:line="276" w:lineRule="auto"/>
        <w:ind w:left="720" w:hanging="360"/>
        <w:rPr/>
      </w:pPr>
      <w:r w:rsidDel="00000000" w:rsidR="00000000" w:rsidRPr="00000000">
        <w:rPr>
          <w:rtl w:val="0"/>
        </w:rPr>
        <w:t xml:space="preserve">Annual reports are being added to the NBL web pages.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numPr>
          <w:ilvl w:val="0"/>
          <w:numId w:val="2"/>
        </w:numPr>
        <w:spacing w:line="276" w:lineRule="auto"/>
        <w:ind w:left="720" w:hanging="360"/>
        <w:rPr/>
      </w:pPr>
      <w:r w:rsidDel="00000000" w:rsidR="00000000" w:rsidRPr="00000000">
        <w:rPr>
          <w:rtl w:val="0"/>
        </w:rPr>
        <w:t xml:space="preserve">Cataloguing of NBL materials is up to date.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rPr/>
      </w:pPr>
      <w:r w:rsidDel="00000000" w:rsidR="00000000" w:rsidRPr="00000000">
        <w:rPr>
          <w:rtl w:val="0"/>
        </w:rPr>
        <w:t xml:space="preserve">Funding - Robert Curry submitted a successful increased bid to the Brewers’ Research and Education Fund for £2400 for 2019/20.</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u w:val="none"/>
        </w:rPr>
      </w:pPr>
      <w:r w:rsidDel="00000000" w:rsidR="00000000" w:rsidRPr="00000000">
        <w:rPr>
          <w:rtl w:val="0"/>
        </w:rPr>
        <w:t xml:space="preserve">Digitisation Project - Robert Curry submitted a successful bid to the Brewers’ Research and Education Fund for £5500 for All You Need is Ears to digitise audio visual content in our NBL and Michael Jackson collections. The purpose of the project is to preserve and enable reference access to the materials for researchers visiting Oxford Brookes’ Special Collections. Project proposed start date 2019, to be completed by October 2020.</w:t>
      </w:r>
    </w:p>
    <w:p w:rsidR="00000000" w:rsidDel="00000000" w:rsidP="00000000" w:rsidRDefault="00000000" w:rsidRPr="00000000" w14:paraId="0000000F">
      <w:pPr>
        <w:spacing w:line="276" w:lineRule="auto"/>
        <w:ind w:left="720" w:firstLine="0"/>
        <w:rPr/>
      </w:pPr>
      <w:r w:rsidDel="00000000" w:rsidR="00000000" w:rsidRPr="00000000">
        <w:rPr>
          <w:rtl w:val="0"/>
        </w:rPr>
      </w:r>
    </w:p>
    <w:p w:rsidR="00000000" w:rsidDel="00000000" w:rsidP="00000000" w:rsidRDefault="00000000" w:rsidRPr="00000000" w14:paraId="00000010">
      <w:pPr>
        <w:numPr>
          <w:ilvl w:val="0"/>
          <w:numId w:val="2"/>
        </w:numPr>
        <w:spacing w:line="276" w:lineRule="auto"/>
        <w:ind w:left="720" w:hanging="360"/>
        <w:rPr>
          <w:u w:val="none"/>
        </w:rPr>
      </w:pPr>
      <w:r w:rsidDel="00000000" w:rsidR="00000000" w:rsidRPr="00000000">
        <w:rPr>
          <w:rtl w:val="0"/>
        </w:rPr>
        <w:t xml:space="preserve">143 new items were added to the NBL catalogue over the year.</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widowControl w:val="0"/>
        <w:numPr>
          <w:ilvl w:val="0"/>
          <w:numId w:val="2"/>
        </w:numPr>
        <w:spacing w:line="276" w:lineRule="auto"/>
        <w:ind w:left="720" w:hanging="360"/>
        <w:rPr/>
      </w:pPr>
      <w:r w:rsidDel="00000000" w:rsidR="00000000" w:rsidRPr="00000000">
        <w:rPr>
          <w:rtl w:val="0"/>
        </w:rPr>
        <w:t xml:space="preserve">Cataloguing of new material will be funded by the IBD, which also funds the purchasing of new acquisitions. </w:t>
      </w:r>
      <w:r w:rsidDel="00000000" w:rsidR="00000000" w:rsidRPr="00000000">
        <w:rPr>
          <w:rtl w:val="0"/>
        </w:rPr>
      </w:r>
    </w:p>
    <w:p w:rsidR="00000000" w:rsidDel="00000000" w:rsidP="00000000" w:rsidRDefault="00000000" w:rsidRPr="00000000" w14:paraId="00000013">
      <w:pPr>
        <w:widowControl w:val="0"/>
        <w:spacing w:line="276" w:lineRule="auto"/>
        <w:ind w:left="0" w:firstLine="0"/>
        <w:rPr/>
      </w:pPr>
      <w:r w:rsidDel="00000000" w:rsidR="00000000" w:rsidRPr="00000000">
        <w:rPr>
          <w:rtl w:val="0"/>
        </w:rPr>
      </w:r>
    </w:p>
    <w:p w:rsidR="00000000" w:rsidDel="00000000" w:rsidP="00000000" w:rsidRDefault="00000000" w:rsidRPr="00000000" w14:paraId="00000014">
      <w:pPr>
        <w:widowControl w:val="0"/>
        <w:spacing w:line="276" w:lineRule="auto"/>
        <w:ind w:left="0" w:firstLine="0"/>
        <w:rPr/>
      </w:pPr>
      <w:r w:rsidDel="00000000" w:rsidR="00000000" w:rsidRPr="00000000">
        <w:rPr>
          <w:b w:val="1"/>
          <w:rtl w:val="0"/>
        </w:rPr>
        <w:t xml:space="preserve">Membership</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numPr>
          <w:ilvl w:val="0"/>
          <w:numId w:val="2"/>
        </w:numPr>
        <w:spacing w:line="276" w:lineRule="auto"/>
        <w:ind w:left="720" w:hanging="360"/>
        <w:rPr>
          <w:u w:val="none"/>
        </w:rPr>
      </w:pPr>
      <w:r w:rsidDel="00000000" w:rsidR="00000000" w:rsidRPr="00000000">
        <w:rPr>
          <w:rtl w:val="0"/>
        </w:rPr>
        <w:t xml:space="preserve">Professor Katherine Smart joined the committee. Katherine is an IBD past president and was </w:t>
      </w:r>
      <w:r w:rsidDel="00000000" w:rsidR="00000000" w:rsidRPr="00000000">
        <w:rPr>
          <w:highlight w:val="white"/>
          <w:rtl w:val="0"/>
        </w:rPr>
        <w:t xml:space="preserve">intimately involved with the inception of the NBL.</w:t>
      </w:r>
      <w:r w:rsidDel="00000000" w:rsidR="00000000" w:rsidRPr="00000000">
        <w:rPr>
          <w:rtl w:val="0"/>
        </w:rPr>
      </w:r>
    </w:p>
    <w:p w:rsidR="00000000" w:rsidDel="00000000" w:rsidP="00000000" w:rsidRDefault="00000000" w:rsidRPr="00000000" w14:paraId="00000017">
      <w:pPr>
        <w:rPr>
          <w:b w:val="1"/>
        </w:rPr>
      </w:pPr>
      <w:r w:rsidDel="00000000" w:rsidR="00000000" w:rsidRPr="00000000">
        <w:rPr>
          <w:color w:val="333333"/>
          <w:sz w:val="21"/>
          <w:szCs w:val="21"/>
          <w:highlight w:val="white"/>
          <w:rtl w:val="0"/>
        </w:rPr>
        <w:t xml:space="preserve"> </w:t>
      </w: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Use of the NBL</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The total number of individual visits to the NBL </w:t>
      </w:r>
      <w:r w:rsidDel="00000000" w:rsidR="00000000" w:rsidRPr="00000000">
        <w:rPr>
          <w:rtl w:val="0"/>
        </w:rPr>
        <w:t xml:space="preserve">in 2018/19 was 23.  The number of telephone and email enquiries regarding the collection was 35</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Previous years below:</w:t>
      </w:r>
      <w:r w:rsidDel="00000000" w:rsidR="00000000" w:rsidRPr="00000000">
        <w:rPr>
          <w:rtl w:val="0"/>
        </w:rPr>
      </w:r>
    </w:p>
    <w:p w:rsidR="00000000" w:rsidDel="00000000" w:rsidP="00000000" w:rsidRDefault="00000000" w:rsidRPr="00000000" w14:paraId="0000001D">
      <w:pPr>
        <w:numPr>
          <w:ilvl w:val="0"/>
          <w:numId w:val="4"/>
        </w:numPr>
        <w:spacing w:before="200" w:line="480" w:lineRule="auto"/>
        <w:ind w:left="720" w:hanging="360"/>
        <w:rPr/>
      </w:pPr>
      <w:r w:rsidDel="00000000" w:rsidR="00000000" w:rsidRPr="00000000">
        <w:rPr>
          <w:rtl w:val="0"/>
        </w:rPr>
        <w:t xml:space="preserve">2017-2018 - 54 visits; 49 phone/email enquiries</w:t>
      </w:r>
    </w:p>
    <w:p w:rsidR="00000000" w:rsidDel="00000000" w:rsidP="00000000" w:rsidRDefault="00000000" w:rsidRPr="00000000" w14:paraId="0000001E">
      <w:pPr>
        <w:numPr>
          <w:ilvl w:val="0"/>
          <w:numId w:val="4"/>
        </w:numPr>
        <w:spacing w:before="200" w:line="480" w:lineRule="auto"/>
        <w:ind w:left="720" w:hanging="360"/>
        <w:rPr/>
      </w:pPr>
      <w:r w:rsidDel="00000000" w:rsidR="00000000" w:rsidRPr="00000000">
        <w:rPr>
          <w:rtl w:val="0"/>
        </w:rPr>
        <w:t xml:space="preserve">2016-2017 - 28 </w:t>
      </w:r>
      <w:r w:rsidDel="00000000" w:rsidR="00000000" w:rsidRPr="00000000">
        <w:rPr>
          <w:rtl w:val="0"/>
        </w:rPr>
        <w:t xml:space="preserve">visits; 31 phone/email enquiries (new metric)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numPr>
          <w:ilvl w:val="0"/>
          <w:numId w:val="4"/>
        </w:numPr>
        <w:spacing w:before="200" w:line="480" w:lineRule="auto"/>
        <w:ind w:left="720" w:hanging="360"/>
        <w:rPr/>
      </w:pPr>
      <w:r w:rsidDel="00000000" w:rsidR="00000000" w:rsidRPr="00000000">
        <w:rPr>
          <w:rtl w:val="0"/>
        </w:rPr>
        <w:t xml:space="preserve">2015-2016 - 21 </w:t>
      </w:r>
    </w:p>
    <w:p w:rsidR="00000000" w:rsidDel="00000000" w:rsidP="00000000" w:rsidRDefault="00000000" w:rsidRPr="00000000" w14:paraId="00000020">
      <w:pPr>
        <w:numPr>
          <w:ilvl w:val="0"/>
          <w:numId w:val="4"/>
        </w:numPr>
        <w:spacing w:before="200" w:line="480" w:lineRule="auto"/>
        <w:ind w:left="720" w:hanging="360"/>
        <w:rPr/>
      </w:pPr>
      <w:r w:rsidDel="00000000" w:rsidR="00000000" w:rsidRPr="00000000">
        <w:rPr>
          <w:rtl w:val="0"/>
        </w:rPr>
        <w:t xml:space="preserve">2014-2015 - 11</w:t>
      </w:r>
    </w:p>
    <w:p w:rsidR="00000000" w:rsidDel="00000000" w:rsidP="00000000" w:rsidRDefault="00000000" w:rsidRPr="00000000" w14:paraId="00000021">
      <w:pPr>
        <w:numPr>
          <w:ilvl w:val="0"/>
          <w:numId w:val="4"/>
        </w:numPr>
        <w:spacing w:after="160" w:before="200" w:line="480" w:lineRule="auto"/>
        <w:ind w:left="720" w:hanging="360"/>
        <w:rPr/>
      </w:pPr>
      <w:r w:rsidDel="00000000" w:rsidR="00000000" w:rsidRPr="00000000">
        <w:rPr>
          <w:color w:val="222222"/>
          <w:highlight w:val="white"/>
          <w:rtl w:val="0"/>
        </w:rPr>
        <w:t xml:space="preserve">2013-2014 - 51</w:t>
      </w:r>
    </w:p>
    <w:p w:rsidR="00000000" w:rsidDel="00000000" w:rsidP="00000000" w:rsidRDefault="00000000" w:rsidRPr="00000000" w14:paraId="00000022">
      <w:pPr>
        <w:numPr>
          <w:ilvl w:val="0"/>
          <w:numId w:val="4"/>
        </w:numPr>
        <w:spacing w:after="160" w:before="200" w:line="480" w:lineRule="auto"/>
        <w:ind w:left="720" w:hanging="360"/>
        <w:rPr/>
      </w:pPr>
      <w:r w:rsidDel="00000000" w:rsidR="00000000" w:rsidRPr="00000000">
        <w:rPr>
          <w:color w:val="222222"/>
          <w:highlight w:val="white"/>
          <w:rtl w:val="0"/>
        </w:rPr>
        <w:t xml:space="preserve">2012-2013 - 45</w:t>
      </w:r>
    </w:p>
    <w:p w:rsidR="00000000" w:rsidDel="00000000" w:rsidP="00000000" w:rsidRDefault="00000000" w:rsidRPr="00000000" w14:paraId="00000023">
      <w:pPr>
        <w:numPr>
          <w:ilvl w:val="0"/>
          <w:numId w:val="4"/>
        </w:numPr>
        <w:spacing w:after="160" w:before="200" w:line="480" w:lineRule="auto"/>
        <w:ind w:left="720" w:hanging="360"/>
        <w:rPr>
          <w:color w:val="222222"/>
          <w:highlight w:val="white"/>
        </w:rPr>
      </w:pPr>
      <w:r w:rsidDel="00000000" w:rsidR="00000000" w:rsidRPr="00000000">
        <w:rPr>
          <w:color w:val="222222"/>
          <w:highlight w:val="white"/>
          <w:rtl w:val="0"/>
        </w:rPr>
        <w:t xml:space="preserve">2011-2012 - 31</w:t>
      </w:r>
    </w:p>
    <w:p w:rsidR="00000000" w:rsidDel="00000000" w:rsidP="00000000" w:rsidRDefault="00000000" w:rsidRPr="00000000" w14:paraId="00000024">
      <w:pPr>
        <w:numPr>
          <w:ilvl w:val="0"/>
          <w:numId w:val="4"/>
        </w:numPr>
        <w:spacing w:after="160" w:before="200" w:line="480" w:lineRule="auto"/>
        <w:ind w:left="720" w:hanging="360"/>
        <w:rPr>
          <w:color w:val="222222"/>
          <w:highlight w:val="white"/>
        </w:rPr>
      </w:pPr>
      <w:r w:rsidDel="00000000" w:rsidR="00000000" w:rsidRPr="00000000">
        <w:rPr>
          <w:color w:val="222222"/>
          <w:highlight w:val="white"/>
          <w:rtl w:val="0"/>
        </w:rPr>
        <w:t xml:space="preserve">2010-2011 - 25   </w:t>
      </w:r>
    </w:p>
    <w:p w:rsidR="00000000" w:rsidDel="00000000" w:rsidP="00000000" w:rsidRDefault="00000000" w:rsidRPr="00000000" w14:paraId="00000025">
      <w:pPr>
        <w:rPr>
          <w:color w:val="222222"/>
          <w:highlight w:val="white"/>
        </w:rPr>
      </w:pPr>
      <w:r w:rsidDel="00000000" w:rsidR="00000000" w:rsidRPr="00000000">
        <w:rPr>
          <w:rtl w:val="0"/>
        </w:rPr>
        <w:t xml:space="preserve">We continue to look at ways of increasing the number of visitors and researchers, and for opportunities to host organised visits. </w:t>
      </w:r>
      <w:r w:rsidDel="00000000" w:rsidR="00000000" w:rsidRPr="00000000">
        <w:rPr>
          <w:rtl w:val="0"/>
        </w:rPr>
      </w:r>
    </w:p>
    <w:p w:rsidR="00000000" w:rsidDel="00000000" w:rsidP="00000000" w:rsidRDefault="00000000" w:rsidRPr="00000000" w14:paraId="00000026">
      <w:pPr>
        <w:spacing w:after="160" w:lineRule="auto"/>
        <w:ind w:hanging="360"/>
        <w:rPr>
          <w:color w:val="222222"/>
          <w:highlight w:val="white"/>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New additions/ donations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Management Committee again record their thanks to donors. </w:t>
      </w:r>
      <w:r w:rsidDel="00000000" w:rsidR="00000000" w:rsidRPr="00000000">
        <w:rPr>
          <w:sz w:val="21"/>
          <w:szCs w:val="21"/>
          <w:rtl w:val="0"/>
        </w:rPr>
        <w:t xml:space="preserve">With particular thanks to Ray Anderson’s (NBL Committee member) ongoing efforts to source important material for the NBL not yet acquired.</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Books added </w:t>
      </w:r>
      <w:r w:rsidDel="00000000" w:rsidR="00000000" w:rsidRPr="00000000">
        <w:rPr>
          <w:rtl w:val="0"/>
        </w:rPr>
        <w:t xml:space="preserve">to the NBL during the 2018-19 Academic Year:</w:t>
      </w:r>
    </w:p>
    <w:p w:rsidR="00000000" w:rsidDel="00000000" w:rsidP="00000000" w:rsidRDefault="00000000" w:rsidRPr="00000000" w14:paraId="0000002C">
      <w:pPr>
        <w:rPr/>
      </w:pPr>
      <w:hyperlink r:id="rId6">
        <w:r w:rsidDel="00000000" w:rsidR="00000000" w:rsidRPr="00000000">
          <w:rPr>
            <w:color w:val="1155cc"/>
            <w:u w:val="single"/>
            <w:rtl w:val="0"/>
          </w:rPr>
          <w:t xml:space="preserve">https://docs.google.com/spreadsheets/d/1SSX4YD2ZX_j6VZkRU7pikQSDfv0stjFP7qXHEEsINvE/edit?usp=sharing</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b w:val="1"/>
          <w:rtl w:val="0"/>
        </w:rPr>
        <w:t xml:space="preserve">Cataloguing</w:t>
      </w:r>
      <w:r w:rsidDel="00000000" w:rsidR="00000000" w:rsidRPr="00000000">
        <w:rPr>
          <w:rtl w:val="0"/>
        </w:rPr>
      </w:r>
    </w:p>
    <w:p w:rsidR="00000000" w:rsidDel="00000000" w:rsidP="00000000" w:rsidRDefault="00000000" w:rsidRPr="00000000" w14:paraId="0000002F">
      <w:pPr>
        <w:ind w:left="0" w:firstLine="0"/>
        <w:rPr>
          <w:color w:val="222222"/>
          <w:highlight w:val="white"/>
        </w:rPr>
      </w:pPr>
      <w:r w:rsidDel="00000000" w:rsidR="00000000" w:rsidRPr="00000000">
        <w:rPr>
          <w:rtl w:val="0"/>
        </w:rPr>
      </w:r>
    </w:p>
    <w:p w:rsidR="00000000" w:rsidDel="00000000" w:rsidP="00000000" w:rsidRDefault="00000000" w:rsidRPr="00000000" w14:paraId="00000030">
      <w:pPr>
        <w:numPr>
          <w:ilvl w:val="0"/>
          <w:numId w:val="1"/>
        </w:numPr>
        <w:ind w:left="720" w:hanging="360"/>
        <w:rPr>
          <w:color w:val="222222"/>
          <w:highlight w:val="white"/>
        </w:rPr>
      </w:pPr>
      <w:r w:rsidDel="00000000" w:rsidR="00000000" w:rsidRPr="00000000">
        <w:rPr>
          <w:color w:val="222222"/>
          <w:highlight w:val="white"/>
          <w:rtl w:val="0"/>
        </w:rPr>
        <w:t xml:space="preserve">Items catalogued for the academic year 2018/19 - 143 monographs plus a small amount of journals and CAMRA newsletters.</w:t>
      </w: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Publicity and Promotion</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Preparation was made for a lecture from Professor Katherine Smart on the science and business of brewing (incorporating a brief history of the NBL), to form part of the Oxford Brookes public lecture series for 2019- 2020</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Brewers’ Research and Education Fund</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t xml:space="preserve">Oxford Brookes University Library acknowledges, with thanks, receipt of the annual grant of £2300 for 2018-19 from the Brewers’ Research and Education Fund. The grant contributes towards the day-to-day ongoing costs of supporting and maintaining the collection, e.g. cataloguing, stock management, preservation, access and an initial basic enquiry service.</w:t>
      </w: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jc w:val="right"/>
        <w:rPr/>
      </w:pPr>
      <w:r w:rsidDel="00000000" w:rsidR="00000000" w:rsidRPr="00000000">
        <w:rPr>
          <w:i w:val="1"/>
          <w:rtl w:val="0"/>
        </w:rPr>
        <w:t xml:space="preserve">Robert Curry/ National Brewing Library Management Committee</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SSX4YD2ZX_j6VZkRU7pikQSDfv0stjFP7qXHEEsINv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